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8.xml" ContentType="application/vnd.openxmlformats-officedocument.drawingml.chart+xml"/>
  <Override PartName="/word/theme/themeOverride3.xml" ContentType="application/vnd.openxmlformats-officedocument.themeOverride+xml"/>
  <Override PartName="/word/charts/chart9.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4.xml" ContentType="application/vnd.openxmlformats-officedocument.themeOverride+xml"/>
  <Override PartName="/word/charts/chart10.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1.xml" ContentType="application/vnd.openxmlformats-officedocument.drawingml.chart+xml"/>
  <Override PartName="/word/charts/chart12.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style6.xml" ContentType="application/vnd.ms-office.chartstyle+xml"/>
  <Override PartName="/word/charts/colors6.xml" ContentType="application/vnd.ms-office.chartcolorstyle+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8D9104" w14:textId="58B28C35" w:rsidR="007C5E05" w:rsidRPr="00B343CC" w:rsidRDefault="007C5E05" w:rsidP="00323AE5">
      <w:pPr>
        <w:ind w:right="-1"/>
        <w:jc w:val="center"/>
        <w:rPr>
          <w:rFonts w:cs="Times New Roman"/>
        </w:rPr>
      </w:pPr>
      <w:r w:rsidRPr="00B343CC">
        <w:rPr>
          <w:rFonts w:cs="Times New Roman"/>
          <w:b/>
          <w:bCs/>
        </w:rPr>
        <w:drawing>
          <wp:inline distT="0" distB="0" distL="0" distR="0" wp14:anchorId="565BA829" wp14:editId="154F193E">
            <wp:extent cx="790575" cy="1081932"/>
            <wp:effectExtent l="19050" t="0" r="9525" b="0"/>
            <wp:docPr id="23" name="Picture 23" descr="الشعار الج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شعار الجديد"/>
                    <pic:cNvPicPr>
                      <a:picLocks noChangeAspect="1" noChangeArrowheads="1"/>
                    </pic:cNvPicPr>
                  </pic:nvPicPr>
                  <pic:blipFill>
                    <a:blip r:embed="rId8" cstate="print"/>
                    <a:stretch>
                      <a:fillRect/>
                    </a:stretch>
                  </pic:blipFill>
                  <pic:spPr bwMode="auto">
                    <a:xfrm>
                      <a:off x="0" y="0"/>
                      <a:ext cx="790575" cy="1081932"/>
                    </a:xfrm>
                    <a:prstGeom prst="rect">
                      <a:avLst/>
                    </a:prstGeom>
                    <a:noFill/>
                    <a:ln w="9525">
                      <a:noFill/>
                      <a:miter lim="800000"/>
                      <a:headEnd/>
                      <a:tailEnd/>
                    </a:ln>
                  </pic:spPr>
                </pic:pic>
              </a:graphicData>
            </a:graphic>
          </wp:inline>
        </w:drawing>
      </w:r>
    </w:p>
    <w:p w14:paraId="6B0128FB" w14:textId="77777777" w:rsidR="007C5E05" w:rsidRPr="00B343CC" w:rsidRDefault="007C5E05" w:rsidP="00323AE5">
      <w:pPr>
        <w:pStyle w:val="Heading7"/>
        <w:jc w:val="center"/>
        <w:rPr>
          <w:rFonts w:cs="Times New Roman"/>
          <w:b/>
          <w:bCs/>
          <w:sz w:val="48"/>
          <w:szCs w:val="48"/>
          <w:rtl/>
        </w:rPr>
      </w:pPr>
      <w:r w:rsidRPr="00B343CC">
        <w:rPr>
          <w:rFonts w:cs="Times New Roman"/>
          <w:b/>
          <w:bCs/>
          <w:sz w:val="48"/>
          <w:szCs w:val="48"/>
        </w:rPr>
        <w:t>State of Palestine</w:t>
      </w:r>
      <w:r w:rsidRPr="00B343CC">
        <w:rPr>
          <w:rFonts w:cs="Times New Roman"/>
          <w:b/>
          <w:bCs/>
          <w:sz w:val="48"/>
          <w:szCs w:val="48"/>
          <w:rtl/>
        </w:rPr>
        <w:t> </w:t>
      </w:r>
    </w:p>
    <w:p w14:paraId="268E1FFE" w14:textId="77777777" w:rsidR="007C5E05" w:rsidRPr="00B343CC" w:rsidRDefault="007C5E05" w:rsidP="00323AE5">
      <w:pPr>
        <w:pStyle w:val="Heading7"/>
        <w:jc w:val="center"/>
        <w:rPr>
          <w:rFonts w:cs="Times New Roman"/>
          <w:b/>
          <w:bCs/>
          <w:sz w:val="40"/>
          <w:szCs w:val="40"/>
        </w:rPr>
      </w:pPr>
      <w:r w:rsidRPr="00B343CC">
        <w:rPr>
          <w:rFonts w:cs="Times New Roman"/>
          <w:b/>
          <w:bCs/>
          <w:sz w:val="40"/>
          <w:szCs w:val="40"/>
        </w:rPr>
        <w:t>Palestinian Central Bureau of Statistics</w:t>
      </w:r>
    </w:p>
    <w:p w14:paraId="356E2206" w14:textId="77777777" w:rsidR="007C5E05" w:rsidRPr="00B343CC" w:rsidRDefault="007C5E05" w:rsidP="00323AE5">
      <w:pPr>
        <w:pStyle w:val="Title"/>
        <w:rPr>
          <w:sz w:val="20"/>
          <w:szCs w:val="20"/>
        </w:rPr>
      </w:pPr>
    </w:p>
    <w:p w14:paraId="5D1C1659" w14:textId="77777777" w:rsidR="007C5E05" w:rsidRPr="00B343CC" w:rsidRDefault="007C5E05" w:rsidP="00323AE5">
      <w:pPr>
        <w:pStyle w:val="Title"/>
        <w:rPr>
          <w:sz w:val="20"/>
          <w:szCs w:val="20"/>
        </w:rPr>
      </w:pPr>
    </w:p>
    <w:p w14:paraId="199229D4" w14:textId="77777777" w:rsidR="007C5E05" w:rsidRPr="00B343CC" w:rsidRDefault="007C5E05" w:rsidP="00323AE5">
      <w:pPr>
        <w:pStyle w:val="Title"/>
        <w:rPr>
          <w:sz w:val="20"/>
          <w:szCs w:val="20"/>
        </w:rPr>
      </w:pPr>
    </w:p>
    <w:p w14:paraId="175B6729" w14:textId="77777777" w:rsidR="007C5E05" w:rsidRPr="00B343CC" w:rsidRDefault="007C5E05" w:rsidP="00323AE5">
      <w:pPr>
        <w:pStyle w:val="Title"/>
        <w:rPr>
          <w:sz w:val="20"/>
          <w:szCs w:val="20"/>
        </w:rPr>
      </w:pPr>
    </w:p>
    <w:p w14:paraId="28914BC4" w14:textId="77777777" w:rsidR="007C5E05" w:rsidRPr="00B343CC" w:rsidRDefault="007C5E05" w:rsidP="00323AE5">
      <w:pPr>
        <w:pStyle w:val="Title"/>
        <w:rPr>
          <w:sz w:val="20"/>
          <w:szCs w:val="20"/>
        </w:rPr>
      </w:pPr>
    </w:p>
    <w:p w14:paraId="691456B2" w14:textId="77777777" w:rsidR="007C5E05" w:rsidRPr="00B343CC" w:rsidRDefault="007C5E05" w:rsidP="00323AE5">
      <w:pPr>
        <w:pStyle w:val="Title"/>
        <w:rPr>
          <w:sz w:val="20"/>
          <w:szCs w:val="20"/>
        </w:rPr>
      </w:pPr>
    </w:p>
    <w:p w14:paraId="4C4EE938" w14:textId="77777777" w:rsidR="007C5E05" w:rsidRPr="00B343CC" w:rsidRDefault="007C5E05" w:rsidP="00323AE5">
      <w:pPr>
        <w:pStyle w:val="Title"/>
        <w:rPr>
          <w:sz w:val="20"/>
          <w:szCs w:val="20"/>
        </w:rPr>
      </w:pPr>
    </w:p>
    <w:p w14:paraId="0A55DB2B" w14:textId="77777777" w:rsidR="007C5E05" w:rsidRPr="00B343CC" w:rsidRDefault="007C5E05" w:rsidP="00323AE5">
      <w:pPr>
        <w:pStyle w:val="Title"/>
        <w:rPr>
          <w:sz w:val="20"/>
          <w:szCs w:val="20"/>
        </w:rPr>
      </w:pPr>
    </w:p>
    <w:p w14:paraId="1AC5C196" w14:textId="77777777" w:rsidR="007C5E05" w:rsidRPr="00B343CC" w:rsidRDefault="007C5E05" w:rsidP="00323AE5">
      <w:pPr>
        <w:pStyle w:val="Title"/>
        <w:rPr>
          <w:sz w:val="20"/>
          <w:szCs w:val="20"/>
        </w:rPr>
      </w:pPr>
    </w:p>
    <w:p w14:paraId="2FA05D7A" w14:textId="77777777" w:rsidR="007C5E05" w:rsidRPr="00B343CC" w:rsidRDefault="007C5E05" w:rsidP="00323AE5">
      <w:pPr>
        <w:pStyle w:val="Title"/>
        <w:rPr>
          <w:sz w:val="20"/>
          <w:szCs w:val="20"/>
        </w:rPr>
      </w:pPr>
    </w:p>
    <w:p w14:paraId="362EDDD3" w14:textId="77777777" w:rsidR="007C5E05" w:rsidRPr="00B343CC" w:rsidRDefault="007C5E05" w:rsidP="00323AE5">
      <w:pPr>
        <w:pStyle w:val="Title"/>
        <w:rPr>
          <w:sz w:val="20"/>
          <w:szCs w:val="20"/>
        </w:rPr>
      </w:pPr>
    </w:p>
    <w:p w14:paraId="3F00AC96" w14:textId="77777777" w:rsidR="007C5E05" w:rsidRPr="00B343CC" w:rsidRDefault="007C5E05" w:rsidP="00323AE5">
      <w:pPr>
        <w:pStyle w:val="Title"/>
        <w:rPr>
          <w:sz w:val="20"/>
          <w:szCs w:val="20"/>
        </w:rPr>
      </w:pPr>
    </w:p>
    <w:p w14:paraId="17E9D488" w14:textId="77777777" w:rsidR="007C5E05" w:rsidRPr="00B343CC" w:rsidRDefault="007C5E05" w:rsidP="00323AE5">
      <w:pPr>
        <w:pStyle w:val="Title"/>
        <w:rPr>
          <w:sz w:val="36"/>
          <w:szCs w:val="36"/>
        </w:rPr>
      </w:pPr>
      <w:r w:rsidRPr="00B343CC">
        <w:rPr>
          <w:sz w:val="36"/>
          <w:szCs w:val="36"/>
        </w:rPr>
        <w:t>Statistical Yearbook of Palestine</w:t>
      </w:r>
    </w:p>
    <w:p w14:paraId="008B1750" w14:textId="77777777" w:rsidR="007C5E05" w:rsidRPr="00B343CC" w:rsidRDefault="007C5E05" w:rsidP="00323AE5">
      <w:pPr>
        <w:pStyle w:val="Title"/>
        <w:rPr>
          <w:sz w:val="36"/>
          <w:szCs w:val="36"/>
        </w:rPr>
      </w:pPr>
    </w:p>
    <w:p w14:paraId="730A0A7D" w14:textId="017621EE" w:rsidR="007C5E05" w:rsidRPr="00B343CC" w:rsidRDefault="0025341E" w:rsidP="00323AE5">
      <w:pPr>
        <w:pStyle w:val="Title"/>
        <w:rPr>
          <w:sz w:val="32"/>
          <w:szCs w:val="32"/>
        </w:rPr>
      </w:pPr>
      <w:r w:rsidRPr="00B343CC">
        <w:rPr>
          <w:rFonts w:hint="cs"/>
          <w:sz w:val="32"/>
          <w:szCs w:val="32"/>
          <w:rtl/>
        </w:rPr>
        <w:t>2025</w:t>
      </w:r>
    </w:p>
    <w:p w14:paraId="6341409D" w14:textId="77777777" w:rsidR="007C5E05" w:rsidRPr="00B343CC" w:rsidRDefault="007C5E05" w:rsidP="00323AE5">
      <w:pPr>
        <w:pStyle w:val="Title"/>
        <w:rPr>
          <w:sz w:val="20"/>
          <w:szCs w:val="20"/>
        </w:rPr>
      </w:pPr>
    </w:p>
    <w:p w14:paraId="5958BF4B" w14:textId="77777777" w:rsidR="007C5E05" w:rsidRPr="00B343CC" w:rsidRDefault="007C5E05" w:rsidP="00323AE5">
      <w:pPr>
        <w:pStyle w:val="Title"/>
        <w:rPr>
          <w:sz w:val="20"/>
          <w:szCs w:val="20"/>
        </w:rPr>
      </w:pPr>
    </w:p>
    <w:p w14:paraId="3CAF8E8B" w14:textId="77777777" w:rsidR="007C5E05" w:rsidRPr="00B343CC" w:rsidRDefault="007C5E05" w:rsidP="00323AE5">
      <w:pPr>
        <w:pStyle w:val="Title"/>
        <w:rPr>
          <w:sz w:val="20"/>
          <w:szCs w:val="20"/>
        </w:rPr>
      </w:pPr>
    </w:p>
    <w:p w14:paraId="35FC2C5C" w14:textId="77777777" w:rsidR="007C5E05" w:rsidRPr="00B343CC" w:rsidRDefault="007C5E05" w:rsidP="00323AE5">
      <w:pPr>
        <w:pStyle w:val="Title"/>
        <w:rPr>
          <w:sz w:val="20"/>
          <w:szCs w:val="20"/>
        </w:rPr>
      </w:pPr>
    </w:p>
    <w:p w14:paraId="263E924D" w14:textId="77777777" w:rsidR="007C5E05" w:rsidRPr="00B343CC" w:rsidRDefault="007C5E05" w:rsidP="00323AE5">
      <w:pPr>
        <w:pStyle w:val="Title"/>
        <w:rPr>
          <w:sz w:val="20"/>
          <w:szCs w:val="20"/>
        </w:rPr>
      </w:pPr>
    </w:p>
    <w:p w14:paraId="497F5563" w14:textId="77777777" w:rsidR="007C5E05" w:rsidRPr="00B343CC" w:rsidRDefault="007C5E05" w:rsidP="00323AE5">
      <w:pPr>
        <w:pStyle w:val="Title"/>
        <w:rPr>
          <w:sz w:val="20"/>
          <w:szCs w:val="20"/>
        </w:rPr>
      </w:pPr>
    </w:p>
    <w:p w14:paraId="34FB8065" w14:textId="77777777" w:rsidR="007C5E05" w:rsidRPr="00B343CC" w:rsidRDefault="007C5E05" w:rsidP="00323AE5">
      <w:pPr>
        <w:pStyle w:val="Title"/>
        <w:rPr>
          <w:sz w:val="20"/>
          <w:szCs w:val="20"/>
        </w:rPr>
      </w:pPr>
    </w:p>
    <w:p w14:paraId="2F797CD5" w14:textId="77777777" w:rsidR="007C5E05" w:rsidRPr="00B343CC" w:rsidRDefault="007C5E05" w:rsidP="00323AE5">
      <w:pPr>
        <w:pStyle w:val="Title"/>
        <w:rPr>
          <w:sz w:val="20"/>
          <w:szCs w:val="20"/>
        </w:rPr>
      </w:pPr>
    </w:p>
    <w:p w14:paraId="62B6BE8F" w14:textId="77777777" w:rsidR="007C5E05" w:rsidRPr="00B343CC" w:rsidRDefault="007C5E05" w:rsidP="00323AE5">
      <w:pPr>
        <w:pStyle w:val="Title"/>
        <w:rPr>
          <w:sz w:val="20"/>
          <w:szCs w:val="20"/>
        </w:rPr>
      </w:pPr>
    </w:p>
    <w:p w14:paraId="17B96338" w14:textId="13BA6F01" w:rsidR="007C5E05" w:rsidRPr="00B343CC" w:rsidRDefault="007C5E05" w:rsidP="00323AE5">
      <w:pPr>
        <w:pStyle w:val="Title"/>
        <w:rPr>
          <w:sz w:val="20"/>
          <w:szCs w:val="20"/>
        </w:rPr>
      </w:pPr>
    </w:p>
    <w:p w14:paraId="3E202B11" w14:textId="77777777" w:rsidR="007C5E05" w:rsidRPr="00B343CC" w:rsidRDefault="007C5E05" w:rsidP="008A22A3">
      <w:pPr>
        <w:pStyle w:val="Title"/>
        <w:jc w:val="left"/>
        <w:rPr>
          <w:sz w:val="20"/>
          <w:szCs w:val="20"/>
        </w:rPr>
      </w:pPr>
    </w:p>
    <w:p w14:paraId="73210F34" w14:textId="77777777" w:rsidR="007C5E05" w:rsidRPr="00B343CC" w:rsidRDefault="007C5E05" w:rsidP="00323AE5">
      <w:pPr>
        <w:pStyle w:val="Title"/>
        <w:rPr>
          <w:sz w:val="20"/>
          <w:szCs w:val="20"/>
        </w:rPr>
      </w:pPr>
    </w:p>
    <w:p w14:paraId="56512A89" w14:textId="77777777" w:rsidR="007C5E05" w:rsidRPr="00B343CC" w:rsidRDefault="007C5E05" w:rsidP="00323AE5">
      <w:pPr>
        <w:pStyle w:val="Title"/>
        <w:rPr>
          <w:sz w:val="20"/>
          <w:szCs w:val="20"/>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4"/>
        <w:gridCol w:w="3687"/>
      </w:tblGrid>
      <w:tr w:rsidR="00B05766" w:rsidRPr="00B343CC" w14:paraId="48760F14" w14:textId="77777777" w:rsidTr="0066227C">
        <w:trPr>
          <w:trHeight w:val="1134"/>
          <w:jc w:val="center"/>
        </w:trPr>
        <w:tc>
          <w:tcPr>
            <w:tcW w:w="2499" w:type="pct"/>
            <w:vAlign w:val="center"/>
          </w:tcPr>
          <w:p w14:paraId="02D9B24C" w14:textId="77777777" w:rsidR="007C5E05" w:rsidRPr="00B343CC" w:rsidRDefault="007C5E05" w:rsidP="00323AE5">
            <w:pPr>
              <w:jc w:val="right"/>
              <w:rPr>
                <w:sz w:val="28"/>
                <w:szCs w:val="28"/>
              </w:rPr>
            </w:pPr>
            <w:r w:rsidRPr="00B343CC">
              <w:rPr>
                <w:rFonts w:cs="Arial"/>
                <w:sz w:val="28"/>
                <w:szCs w:val="28"/>
                <w:rtl/>
              </w:rPr>
              <w:drawing>
                <wp:inline distT="0" distB="0" distL="0" distR="0" wp14:anchorId="16882C07" wp14:editId="010DCD7B">
                  <wp:extent cx="628650" cy="627753"/>
                  <wp:effectExtent l="0" t="0" r="0" b="1270"/>
                  <wp:docPr id="2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636356" cy="635448"/>
                          </a:xfrm>
                          <a:prstGeom prst="rect">
                            <a:avLst/>
                          </a:prstGeom>
                        </pic:spPr>
                      </pic:pic>
                    </a:graphicData>
                  </a:graphic>
                </wp:inline>
              </w:drawing>
            </w:r>
          </w:p>
        </w:tc>
        <w:tc>
          <w:tcPr>
            <w:tcW w:w="2501" w:type="pct"/>
          </w:tcPr>
          <w:p w14:paraId="7499CFFE" w14:textId="77777777" w:rsidR="007C5E05" w:rsidRPr="00B343CC" w:rsidRDefault="007C5E05" w:rsidP="00323AE5">
            <w:pPr>
              <w:rPr>
                <w:rFonts w:ascii="Arial" w:hAnsi="Arial" w:cs="Arial"/>
                <w:sz w:val="12"/>
                <w:szCs w:val="12"/>
                <w:rtl/>
              </w:rPr>
            </w:pPr>
            <w:r w:rsidRPr="00B343CC">
              <w:rPr>
                <w:rFonts w:ascii="Simplified Arabic" w:hAnsi="Simplified Arabic" w:cs="Arial"/>
                <w:sz w:val="10"/>
                <w:szCs w:val="10"/>
                <w:rtl/>
              </w:rPr>
              <w:drawing>
                <wp:inline distT="0" distB="0" distL="0" distR="0" wp14:anchorId="09909F5C" wp14:editId="0C3E3E54">
                  <wp:extent cx="900000" cy="320705"/>
                  <wp:effectExtent l="19050" t="0" r="0" b="0"/>
                  <wp:docPr id="29"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14:paraId="4BCD40EE" w14:textId="77777777" w:rsidR="007C5E05" w:rsidRPr="00B343CC" w:rsidRDefault="007C5E05" w:rsidP="00323AE5">
            <w:pPr>
              <w:rPr>
                <w:rFonts w:ascii="Simplified Arabic" w:hAnsi="Simplified Arabic"/>
                <w:sz w:val="10"/>
                <w:szCs w:val="10"/>
              </w:rPr>
            </w:pPr>
          </w:p>
          <w:p w14:paraId="1C40CC65" w14:textId="579E6005" w:rsidR="007C5E05" w:rsidRPr="00B343CC" w:rsidRDefault="007C5E05" w:rsidP="0025341E">
            <w:pPr>
              <w:pStyle w:val="Title"/>
              <w:jc w:val="right"/>
              <w:rPr>
                <w:rFonts w:ascii="Times New Roman" w:hAnsi="Times New Roman"/>
                <w:sz w:val="26"/>
                <w:szCs w:val="26"/>
              </w:rPr>
            </w:pPr>
            <w:r w:rsidRPr="00B343CC">
              <w:rPr>
                <w:rFonts w:ascii="Times New Roman" w:hAnsi="Times New Roman"/>
                <w:sz w:val="26"/>
                <w:szCs w:val="26"/>
              </w:rPr>
              <w:t xml:space="preserve">December, </w:t>
            </w:r>
            <w:r w:rsidR="0025341E" w:rsidRPr="00B343CC">
              <w:rPr>
                <w:rFonts w:ascii="Times New Roman" w:hAnsi="Times New Roman" w:hint="cs"/>
                <w:sz w:val="26"/>
                <w:szCs w:val="26"/>
                <w:rtl/>
              </w:rPr>
              <w:t>2025</w:t>
            </w:r>
          </w:p>
          <w:p w14:paraId="7CEE01AD" w14:textId="77777777" w:rsidR="007C5E05" w:rsidRPr="00B343CC" w:rsidRDefault="007C5E05" w:rsidP="00323AE5">
            <w:pPr>
              <w:rPr>
                <w:rFonts w:ascii="Simplified Arabic" w:hAnsi="Simplified Arabic"/>
                <w:sz w:val="10"/>
                <w:szCs w:val="10"/>
              </w:rPr>
            </w:pPr>
          </w:p>
          <w:p w14:paraId="51C33286" w14:textId="77777777" w:rsidR="007C5E05" w:rsidRPr="00B343CC" w:rsidRDefault="007C5E05" w:rsidP="00323AE5">
            <w:pPr>
              <w:rPr>
                <w:rFonts w:ascii="Simplified Arabic" w:hAnsi="Simplified Arabic"/>
                <w:sz w:val="10"/>
                <w:szCs w:val="10"/>
                <w:rtl/>
              </w:rPr>
            </w:pPr>
          </w:p>
        </w:tc>
      </w:tr>
    </w:tbl>
    <w:p w14:paraId="742D4848" w14:textId="77777777" w:rsidR="007C5E05" w:rsidRPr="00B343CC" w:rsidRDefault="007C5E05" w:rsidP="00323AE5">
      <w:pPr>
        <w:bidi w:val="0"/>
        <w:rPr>
          <w:rFonts w:cs="Times New Roman"/>
        </w:rPr>
      </w:pPr>
      <w:r w:rsidRPr="00B343CC">
        <w:rPr>
          <w:rFonts w:cs="Times New Roman"/>
        </w:rPr>
        <w:br w:type="page"/>
      </w:r>
    </w:p>
    <w:p w14:paraId="083AE014" w14:textId="77777777" w:rsidR="007C5E05" w:rsidRPr="00B343CC" w:rsidRDefault="007C5E05" w:rsidP="00323AE5">
      <w:pPr>
        <w:pStyle w:val="BodyText"/>
        <w:jc w:val="both"/>
        <w:rPr>
          <w:rFonts w:cs="Times New Roman"/>
        </w:rPr>
      </w:pPr>
      <w:r w:rsidRPr="00B343CC">
        <w:rPr>
          <w:rFonts w:cs="Times New Roman"/>
        </w:rPr>
        <w:lastRenderedPageBreak/>
        <w:t>PAGE NUMBERS OF ENGLISH TEXT ARE PRINTED IN SQUARE BRACKETS. TABLES ARE PRINTED IN ARABIC FORMAT (FROM RIGHT TO LEFT).</w:t>
      </w:r>
    </w:p>
    <w:p w14:paraId="55B324B9" w14:textId="77777777" w:rsidR="007C5E05" w:rsidRPr="00B343CC" w:rsidRDefault="007C5E05" w:rsidP="00323AE5">
      <w:pPr>
        <w:bidi w:val="0"/>
        <w:jc w:val="lowKashida"/>
        <w:rPr>
          <w:rFonts w:cs="Times New Roman"/>
        </w:rPr>
      </w:pPr>
    </w:p>
    <w:p w14:paraId="5494B5A8" w14:textId="77777777" w:rsidR="007C5E05" w:rsidRPr="00B343CC" w:rsidRDefault="007C5E05" w:rsidP="00323AE5">
      <w:pPr>
        <w:bidi w:val="0"/>
        <w:jc w:val="lowKashida"/>
        <w:rPr>
          <w:rFonts w:cs="Times New Roman"/>
        </w:rPr>
      </w:pPr>
      <w:r w:rsidRPr="00B343CC">
        <w:rPr>
          <w:rFonts w:cs="Times New Roman"/>
        </w:rPr>
        <mc:AlternateContent>
          <mc:Choice Requires="wps">
            <w:drawing>
              <wp:anchor distT="0" distB="0" distL="114300" distR="114300" simplePos="0" relativeHeight="251662336" behindDoc="0" locked="0" layoutInCell="1" allowOverlap="1" wp14:anchorId="4AE9DA72" wp14:editId="086E12E8">
                <wp:simplePos x="0" y="0"/>
                <wp:positionH relativeFrom="column">
                  <wp:posOffset>-10160</wp:posOffset>
                </wp:positionH>
                <wp:positionV relativeFrom="paragraph">
                  <wp:posOffset>12065</wp:posOffset>
                </wp:positionV>
                <wp:extent cx="4675505" cy="800100"/>
                <wp:effectExtent l="38100" t="38100" r="10795" b="19050"/>
                <wp:wrapNone/>
                <wp:docPr id="1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5505" cy="800100"/>
                        </a:xfrm>
                        <a:prstGeom prst="rect">
                          <a:avLst/>
                        </a:prstGeom>
                        <a:solidFill>
                          <a:srgbClr val="FFFFFF"/>
                        </a:solidFill>
                        <a:ln w="76200" cmpd="tri">
                          <a:solidFill>
                            <a:srgbClr val="000000"/>
                          </a:solidFill>
                          <a:miter lim="800000"/>
                          <a:headEnd/>
                          <a:tailEnd/>
                        </a:ln>
                      </wps:spPr>
                      <wps:txbx>
                        <w:txbxContent>
                          <w:p w14:paraId="6313013C" w14:textId="77777777" w:rsidR="00C75870" w:rsidRPr="00C92ED9" w:rsidRDefault="00C75870" w:rsidP="007C5E05">
                            <w:pPr>
                              <w:pStyle w:val="BodyText2"/>
                              <w:rPr>
                                <w:b w:val="0"/>
                                <w:bCs w:val="0"/>
                                <w:rtl/>
                                <w:lang w:val="en-GB"/>
                              </w:rPr>
                            </w:pPr>
                            <w:r w:rsidRPr="00C92ED9">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E9DA72" id="_x0000_t202" coordsize="21600,21600" o:spt="202" path="m,l,21600r21600,l21600,xe">
                <v:stroke joinstyle="miter"/>
                <v:path gradientshapeok="t" o:connecttype="rect"/>
              </v:shapetype>
              <v:shape id="Text Box 8" o:spid="_x0000_s1026" type="#_x0000_t202" style="position:absolute;left:0;text-align:left;margin-left:-.8pt;margin-top:.95pt;width:368.15pt;height:6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QrILwIAAF0EAAAOAAAAZHJzL2Uyb0RvYy54bWysVNtu2zAMfR+wfxD0vtgpcumMOkWXLsOA&#10;7gK0+wBFlmNhkqhRSuzs60fJaRt028swPwiiSB0dHpK+uh6sYQeFQYOr+XRScqachEa7Xc2/PWze&#10;XHIWonCNMOBUzY8q8OvV61dXva/UBXRgGoWMQFyoel/zLkZfFUWQnbIiTMArR84W0IpIJu6KBkVP&#10;6NYUF2W5KHrAxiNIFQKd3o5Ovsr4batk/NK2QUVmak7cYl4xr9u0FqsrUe1Q+E7LEw3xDyys0I4e&#10;fYK6FVGwPerfoKyWCAHaOJFgC2hbLVXOgbKZli+yue+EVzkXEif4J5nC/4OVnw9fkemGajfnzAlL&#10;NXpQQ2TvYGCXSZ7eh4qi7j3FxYGOKTSnGvwdyO+BOVh3wu3UDSL0nRIN0Zumm8XZ1REnJJBt/wka&#10;ekbsI2SgoUWbtCM1GKFTmY5PpUlUJB3OFsv5vCSKknyXJWmVa1eI6vG2xxA/KLAsbWqOVPqMLg53&#10;ISY2onoMSY8FMLrZaGOygbvt2iA7CGqTTf5yAi/CjGN9zZcLajwiYj2pFlGPYvwVrszfn+CsjtT7&#10;RtucEYWlIFElCd+7Ju+j0GbcE33jTpomGUdB47AdKDAJvYXmSOoijD1OM0mbDvAnZz31d83Dj71A&#10;xZn56KhCb6ezWRqIbMzmywsy8NyzPfcIJwmK0uVs3K7jOER7j3rX0UtjTzi4oaq2Ogv+zOrEm3o4&#10;1+E0b2lIzu0c9fxXWP0CAAD//wMAUEsDBBQABgAIAAAAIQAk0gTw3QAAAAgBAAAPAAAAZHJzL2Rv&#10;d25yZXYueG1sTI/BTsMwEETvSPyDtUi9oNZJCk0b4lQVAu60lSpubrxNosbrKHbS8PcsJzjOzmj2&#10;Tb6dbCtG7H3jSEG8iEAglc40VCk4Ht7naxA+aDK6dYQKvtHDtri/y3Vm3I0+cdyHSnAJ+UwrqEPo&#10;Mil9WaPVfuE6JPYurrc6sOwraXp943LbyiSKVtLqhvhDrTt8rbG87ger4PE5/hpM5eiSfBxO9jpG&#10;6Xr5ptTsYdq9gAg4hb8w/OIzOhTMdHYDGS9aBfN4xUm+b0CwnS6fUhBn1km6AVnk8v+A4gcAAP//&#10;AwBQSwECLQAUAAYACAAAACEAtoM4kv4AAADhAQAAEwAAAAAAAAAAAAAAAAAAAAAAW0NvbnRlbnRf&#10;VHlwZXNdLnhtbFBLAQItABQABgAIAAAAIQA4/SH/1gAAAJQBAAALAAAAAAAAAAAAAAAAAC8BAABf&#10;cmVscy8ucmVsc1BLAQItABQABgAIAAAAIQBOHQrILwIAAF0EAAAOAAAAAAAAAAAAAAAAAC4CAABk&#10;cnMvZTJvRG9jLnhtbFBLAQItABQABgAIAAAAIQAk0gTw3QAAAAgBAAAPAAAAAAAAAAAAAAAAAIkE&#10;AABkcnMvZG93bnJldi54bWxQSwUGAAAAAAQABADzAAAAkwUAAAAA&#10;" strokeweight="6pt">
                <v:stroke linestyle="thickBetweenThin"/>
                <v:textbox>
                  <w:txbxContent>
                    <w:p w14:paraId="6313013C" w14:textId="77777777" w:rsidR="00C75870" w:rsidRPr="00C92ED9" w:rsidRDefault="00C75870" w:rsidP="007C5E05">
                      <w:pPr>
                        <w:pStyle w:val="BodyText2"/>
                        <w:rPr>
                          <w:b w:val="0"/>
                          <w:bCs w:val="0"/>
                          <w:rtl/>
                          <w:lang w:val="en-GB"/>
                        </w:rPr>
                      </w:pPr>
                      <w:r w:rsidRPr="00C92ED9">
                        <w:t>This document is prepared in accordance with the standard procedures stated in the Code of Practice for Palestine Official Statistics 2006</w:t>
                      </w:r>
                    </w:p>
                  </w:txbxContent>
                </v:textbox>
              </v:shape>
            </w:pict>
          </mc:Fallback>
        </mc:AlternateContent>
      </w:r>
    </w:p>
    <w:p w14:paraId="6809CFD0" w14:textId="77777777" w:rsidR="007C5E05" w:rsidRPr="00B343CC" w:rsidRDefault="007C5E05" w:rsidP="00323AE5">
      <w:pPr>
        <w:bidi w:val="0"/>
        <w:jc w:val="lowKashida"/>
        <w:rPr>
          <w:rFonts w:cs="Times New Roman"/>
        </w:rPr>
      </w:pPr>
    </w:p>
    <w:p w14:paraId="5B7639F9" w14:textId="77777777" w:rsidR="007C5E05" w:rsidRPr="00B343CC" w:rsidRDefault="007C5E05" w:rsidP="00323AE5">
      <w:pPr>
        <w:bidi w:val="0"/>
        <w:jc w:val="lowKashida"/>
        <w:rPr>
          <w:rFonts w:cs="Times New Roman"/>
        </w:rPr>
      </w:pPr>
    </w:p>
    <w:p w14:paraId="619AF65F" w14:textId="77777777" w:rsidR="007C5E05" w:rsidRPr="00B343CC" w:rsidRDefault="007C5E05" w:rsidP="00323AE5">
      <w:pPr>
        <w:bidi w:val="0"/>
        <w:jc w:val="lowKashida"/>
        <w:rPr>
          <w:rFonts w:cs="Times New Roman"/>
        </w:rPr>
      </w:pPr>
    </w:p>
    <w:p w14:paraId="10EA9074" w14:textId="77777777" w:rsidR="007C5E05" w:rsidRPr="00B343CC" w:rsidRDefault="007C5E05" w:rsidP="00323AE5">
      <w:pPr>
        <w:bidi w:val="0"/>
        <w:jc w:val="lowKashida"/>
        <w:rPr>
          <w:rFonts w:cs="Times New Roman"/>
        </w:rPr>
      </w:pPr>
    </w:p>
    <w:p w14:paraId="11B461E0" w14:textId="77777777" w:rsidR="007C5E05" w:rsidRPr="00B343CC" w:rsidRDefault="007C5E05" w:rsidP="00323AE5">
      <w:pPr>
        <w:bidi w:val="0"/>
        <w:jc w:val="lowKashida"/>
        <w:rPr>
          <w:rFonts w:cs="Times New Roman"/>
        </w:rPr>
      </w:pPr>
    </w:p>
    <w:p w14:paraId="501B7689" w14:textId="77777777" w:rsidR="007C5E05" w:rsidRPr="00B343CC" w:rsidRDefault="007C5E05" w:rsidP="00323AE5">
      <w:pPr>
        <w:bidi w:val="0"/>
        <w:jc w:val="center"/>
        <w:rPr>
          <w:rFonts w:cs="Times New Roman"/>
        </w:rPr>
      </w:pPr>
    </w:p>
    <w:p w14:paraId="489F4D65" w14:textId="77777777" w:rsidR="003B2CE9" w:rsidRPr="00B343CC" w:rsidRDefault="003B2CE9" w:rsidP="00323AE5">
      <w:pPr>
        <w:bidi w:val="0"/>
        <w:jc w:val="center"/>
        <w:rPr>
          <w:rFonts w:cs="Times New Roman"/>
        </w:rPr>
      </w:pPr>
    </w:p>
    <w:p w14:paraId="2268FD8D" w14:textId="77777777" w:rsidR="003B2CE9" w:rsidRPr="00B343CC" w:rsidRDefault="003B2CE9" w:rsidP="00323AE5">
      <w:pPr>
        <w:bidi w:val="0"/>
        <w:jc w:val="center"/>
        <w:rPr>
          <w:rFonts w:cs="Times New Roman"/>
        </w:rPr>
      </w:pPr>
    </w:p>
    <w:p w14:paraId="30D3C63E" w14:textId="77777777" w:rsidR="007C5E05" w:rsidRPr="00B343CC" w:rsidRDefault="007C5E05" w:rsidP="00323AE5">
      <w:pPr>
        <w:bidi w:val="0"/>
        <w:jc w:val="center"/>
        <w:rPr>
          <w:rFonts w:cs="Simplified Arabic"/>
          <w:szCs w:val="22"/>
        </w:rPr>
      </w:pPr>
    </w:p>
    <w:p w14:paraId="4768FEF5" w14:textId="77777777" w:rsidR="00F87E70" w:rsidRPr="00B343CC" w:rsidRDefault="00F87E70" w:rsidP="00F87E70">
      <w:pPr>
        <w:bidi w:val="0"/>
        <w:jc w:val="center"/>
        <w:rPr>
          <w:rFonts w:cs="Simplified Arabic"/>
          <w:szCs w:val="22"/>
        </w:rPr>
      </w:pPr>
    </w:p>
    <w:p w14:paraId="2209CCF4" w14:textId="77777777" w:rsidR="00F87E70" w:rsidRPr="00B343CC" w:rsidRDefault="00F87E70" w:rsidP="00F87E70">
      <w:pPr>
        <w:bidi w:val="0"/>
        <w:jc w:val="center"/>
        <w:rPr>
          <w:rFonts w:cs="Simplified Arabic"/>
          <w:szCs w:val="22"/>
        </w:rPr>
      </w:pPr>
    </w:p>
    <w:p w14:paraId="5FEA1073" w14:textId="688B4A37" w:rsidR="00F87E70" w:rsidRPr="00B343CC" w:rsidRDefault="0008018F" w:rsidP="0008018F">
      <w:pPr>
        <w:bidi w:val="0"/>
        <w:jc w:val="center"/>
        <w:rPr>
          <w:rFonts w:cs="Simplified Arabic"/>
          <w:szCs w:val="22"/>
        </w:rPr>
      </w:pPr>
      <w:r>
        <w:rPr>
          <w:rtl/>
        </w:rPr>
        <w:drawing>
          <wp:inline distT="0" distB="0" distL="0" distR="0" wp14:anchorId="4A3B5EDE" wp14:editId="62B337BF">
            <wp:extent cx="1853543" cy="1174589"/>
            <wp:effectExtent l="0" t="0" r="0" b="6985"/>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شعار القدس عاصمة المرأة العربية.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94833" cy="1200755"/>
                    </a:xfrm>
                    <a:prstGeom prst="rect">
                      <a:avLst/>
                    </a:prstGeom>
                  </pic:spPr>
                </pic:pic>
              </a:graphicData>
            </a:graphic>
          </wp:inline>
        </w:drawing>
      </w:r>
    </w:p>
    <w:p w14:paraId="3185F9B3" w14:textId="77777777" w:rsidR="00F87E70" w:rsidRPr="00B343CC" w:rsidRDefault="00F87E70" w:rsidP="00F87E70">
      <w:pPr>
        <w:bidi w:val="0"/>
        <w:jc w:val="center"/>
        <w:rPr>
          <w:rFonts w:cs="Simplified Arabic"/>
          <w:szCs w:val="22"/>
        </w:rPr>
      </w:pPr>
    </w:p>
    <w:p w14:paraId="7BC90D68" w14:textId="77777777" w:rsidR="00F87E70" w:rsidRPr="00B343CC" w:rsidRDefault="00F87E70" w:rsidP="00F87E70">
      <w:pPr>
        <w:bidi w:val="0"/>
        <w:jc w:val="center"/>
        <w:rPr>
          <w:rFonts w:cs="Simplified Arabic"/>
          <w:szCs w:val="22"/>
        </w:rPr>
      </w:pPr>
    </w:p>
    <w:p w14:paraId="6B1456A0" w14:textId="77777777" w:rsidR="00F87E70" w:rsidRPr="00B343CC" w:rsidRDefault="00F87E70" w:rsidP="00F87E70">
      <w:pPr>
        <w:bidi w:val="0"/>
        <w:jc w:val="center"/>
        <w:rPr>
          <w:rFonts w:cs="Times New Roman"/>
        </w:rPr>
      </w:pPr>
    </w:p>
    <w:p w14:paraId="064C1E1B" w14:textId="024EFEA9" w:rsidR="007C5E05" w:rsidRDefault="007C5E05" w:rsidP="00323AE5">
      <w:pPr>
        <w:bidi w:val="0"/>
        <w:jc w:val="center"/>
        <w:rPr>
          <w:rFonts w:cs="Times New Roman"/>
          <w:rtl/>
        </w:rPr>
      </w:pPr>
    </w:p>
    <w:p w14:paraId="2B8C47B4" w14:textId="71F359BF" w:rsidR="00CF7502" w:rsidRDefault="00CF7502" w:rsidP="00CF7502">
      <w:pPr>
        <w:bidi w:val="0"/>
        <w:jc w:val="center"/>
        <w:rPr>
          <w:rFonts w:cs="Times New Roman"/>
          <w:rtl/>
        </w:rPr>
      </w:pPr>
    </w:p>
    <w:p w14:paraId="1FC6FA70" w14:textId="36A6D5F9" w:rsidR="00CF7502" w:rsidRDefault="00CF7502" w:rsidP="00CF7502">
      <w:pPr>
        <w:bidi w:val="0"/>
        <w:jc w:val="center"/>
        <w:rPr>
          <w:rFonts w:cs="Times New Roman"/>
          <w:rtl/>
        </w:rPr>
      </w:pPr>
    </w:p>
    <w:p w14:paraId="396B7891" w14:textId="77777777" w:rsidR="00CF7502" w:rsidRPr="00B343CC" w:rsidRDefault="00CF7502" w:rsidP="00CF7502">
      <w:pPr>
        <w:bidi w:val="0"/>
        <w:jc w:val="center"/>
        <w:rPr>
          <w:rFonts w:cs="Times New Roman"/>
        </w:rPr>
      </w:pPr>
    </w:p>
    <w:p w14:paraId="312BAD87" w14:textId="77777777" w:rsidR="003B2CE9" w:rsidRPr="00B343CC" w:rsidRDefault="003B2CE9" w:rsidP="00323AE5">
      <w:pPr>
        <w:bidi w:val="0"/>
        <w:jc w:val="center"/>
        <w:rPr>
          <w:rFonts w:cs="Times New Roman"/>
        </w:rPr>
      </w:pPr>
    </w:p>
    <w:p w14:paraId="73ACE4F6" w14:textId="77777777" w:rsidR="007C5E05" w:rsidRPr="00B343CC" w:rsidRDefault="007C5E05" w:rsidP="00323AE5">
      <w:pPr>
        <w:pStyle w:val="Title"/>
        <w:jc w:val="left"/>
        <w:rPr>
          <w:sz w:val="20"/>
          <w:szCs w:val="20"/>
        </w:rPr>
      </w:pPr>
    </w:p>
    <w:p w14:paraId="4AD8B82A" w14:textId="642088F5" w:rsidR="007C5E05" w:rsidRPr="00CF7502" w:rsidRDefault="007C5E05" w:rsidP="0025341E">
      <w:pPr>
        <w:pStyle w:val="Title"/>
        <w:jc w:val="left"/>
        <w:rPr>
          <w:sz w:val="18"/>
          <w:szCs w:val="18"/>
        </w:rPr>
      </w:pPr>
      <w:r w:rsidRPr="00CF7502">
        <w:rPr>
          <w:sz w:val="18"/>
          <w:szCs w:val="18"/>
        </w:rPr>
        <w:t xml:space="preserve">© </w:t>
      </w:r>
      <w:r w:rsidRPr="00CF7502">
        <w:rPr>
          <w:b w:val="0"/>
          <w:bCs w:val="0"/>
          <w:sz w:val="18"/>
          <w:szCs w:val="18"/>
        </w:rPr>
        <w:t xml:space="preserve">December </w:t>
      </w:r>
      <w:r w:rsidR="0025341E" w:rsidRPr="00CF7502">
        <w:rPr>
          <w:rFonts w:hint="cs"/>
          <w:b w:val="0"/>
          <w:bCs w:val="0"/>
          <w:sz w:val="18"/>
          <w:szCs w:val="18"/>
          <w:rtl/>
        </w:rPr>
        <w:t>2025</w:t>
      </w:r>
      <w:r w:rsidRPr="00CF7502">
        <w:rPr>
          <w:b w:val="0"/>
          <w:bCs w:val="0"/>
          <w:sz w:val="18"/>
          <w:szCs w:val="18"/>
        </w:rPr>
        <w:t>.</w:t>
      </w:r>
    </w:p>
    <w:p w14:paraId="771DF467" w14:textId="77777777" w:rsidR="007C5E05" w:rsidRPr="00CF7502" w:rsidRDefault="007C5E05" w:rsidP="00323AE5">
      <w:pPr>
        <w:pStyle w:val="Title"/>
        <w:jc w:val="left"/>
        <w:rPr>
          <w:sz w:val="18"/>
          <w:szCs w:val="18"/>
        </w:rPr>
      </w:pPr>
      <w:r w:rsidRPr="00CF7502">
        <w:rPr>
          <w:sz w:val="18"/>
          <w:szCs w:val="18"/>
        </w:rPr>
        <w:t>All Rights Reserved</w:t>
      </w:r>
    </w:p>
    <w:p w14:paraId="533608C1" w14:textId="77777777" w:rsidR="007C5E05" w:rsidRPr="00CF7502" w:rsidRDefault="007C5E05" w:rsidP="00323AE5">
      <w:pPr>
        <w:pStyle w:val="Title"/>
        <w:jc w:val="left"/>
        <w:rPr>
          <w:sz w:val="18"/>
          <w:szCs w:val="18"/>
        </w:rPr>
      </w:pPr>
    </w:p>
    <w:p w14:paraId="5AFABF56" w14:textId="77777777" w:rsidR="007C5E05" w:rsidRPr="00CF7502" w:rsidRDefault="007C5E05" w:rsidP="00323AE5">
      <w:pPr>
        <w:pStyle w:val="Title"/>
        <w:jc w:val="left"/>
        <w:rPr>
          <w:sz w:val="18"/>
          <w:szCs w:val="18"/>
        </w:rPr>
      </w:pPr>
      <w:r w:rsidRPr="00CF7502">
        <w:rPr>
          <w:sz w:val="18"/>
          <w:szCs w:val="18"/>
        </w:rPr>
        <w:t>Citation:</w:t>
      </w:r>
    </w:p>
    <w:p w14:paraId="608B1D4F" w14:textId="77777777" w:rsidR="007C5E05" w:rsidRPr="00CF7502" w:rsidRDefault="007C5E05" w:rsidP="00323AE5">
      <w:pPr>
        <w:pStyle w:val="Title"/>
        <w:jc w:val="left"/>
        <w:rPr>
          <w:sz w:val="18"/>
          <w:szCs w:val="18"/>
        </w:rPr>
      </w:pPr>
    </w:p>
    <w:p w14:paraId="53F03C16" w14:textId="01D492D0" w:rsidR="007C5E05" w:rsidRPr="00CF7502" w:rsidRDefault="007C5E05" w:rsidP="0025341E">
      <w:pPr>
        <w:pStyle w:val="Title"/>
        <w:jc w:val="left"/>
        <w:rPr>
          <w:b w:val="0"/>
          <w:bCs w:val="0"/>
          <w:sz w:val="20"/>
          <w:szCs w:val="20"/>
        </w:rPr>
      </w:pPr>
      <w:r w:rsidRPr="00CF7502">
        <w:rPr>
          <w:sz w:val="20"/>
          <w:szCs w:val="20"/>
        </w:rPr>
        <w:t xml:space="preserve">Palestinian Central Bureau of Statistics, </w:t>
      </w:r>
      <w:r w:rsidR="0025341E" w:rsidRPr="00CF7502">
        <w:rPr>
          <w:rFonts w:hint="cs"/>
          <w:sz w:val="20"/>
          <w:szCs w:val="20"/>
          <w:rtl/>
        </w:rPr>
        <w:t>2025</w:t>
      </w:r>
      <w:r w:rsidRPr="00CF7502">
        <w:rPr>
          <w:sz w:val="20"/>
          <w:szCs w:val="20"/>
        </w:rPr>
        <w:t xml:space="preserve">.  </w:t>
      </w:r>
      <w:r w:rsidRPr="00CF7502">
        <w:rPr>
          <w:b w:val="0"/>
          <w:bCs w:val="0"/>
          <w:i/>
          <w:iCs/>
          <w:sz w:val="20"/>
          <w:szCs w:val="20"/>
        </w:rPr>
        <w:t xml:space="preserve">Statistical Yearbook of Palestine </w:t>
      </w:r>
      <w:r w:rsidR="0025341E" w:rsidRPr="00CF7502">
        <w:rPr>
          <w:rFonts w:hint="cs"/>
          <w:b w:val="0"/>
          <w:bCs w:val="0"/>
          <w:i/>
          <w:iCs/>
          <w:sz w:val="20"/>
          <w:szCs w:val="20"/>
          <w:rtl/>
        </w:rPr>
        <w:t>2025</w:t>
      </w:r>
      <w:r w:rsidRPr="00CF7502">
        <w:rPr>
          <w:b w:val="0"/>
          <w:bCs w:val="0"/>
          <w:i/>
          <w:iCs/>
          <w:sz w:val="20"/>
          <w:szCs w:val="20"/>
        </w:rPr>
        <w:t xml:space="preserve">, No. </w:t>
      </w:r>
      <w:r w:rsidR="0025341E" w:rsidRPr="00CF7502">
        <w:rPr>
          <w:rFonts w:hint="cs"/>
          <w:b w:val="0"/>
          <w:bCs w:val="0"/>
          <w:i/>
          <w:iCs/>
          <w:sz w:val="20"/>
          <w:szCs w:val="20"/>
          <w:rtl/>
        </w:rPr>
        <w:t>26</w:t>
      </w:r>
      <w:r w:rsidRPr="00CF7502">
        <w:rPr>
          <w:b w:val="0"/>
          <w:bCs w:val="0"/>
          <w:i/>
          <w:iCs/>
          <w:sz w:val="20"/>
          <w:szCs w:val="20"/>
        </w:rPr>
        <w:t xml:space="preserve">.  </w:t>
      </w:r>
      <w:r w:rsidRPr="00CF7502">
        <w:rPr>
          <w:b w:val="0"/>
          <w:bCs w:val="0"/>
          <w:sz w:val="20"/>
          <w:szCs w:val="20"/>
        </w:rPr>
        <w:t>Ramallah – Palestine.</w:t>
      </w:r>
    </w:p>
    <w:p w14:paraId="423DF068" w14:textId="77777777" w:rsidR="007C5E05" w:rsidRPr="00CF7502" w:rsidRDefault="007C5E05" w:rsidP="00323AE5">
      <w:pPr>
        <w:rPr>
          <w:rFonts w:cs="Times New Roman"/>
          <w:sz w:val="18"/>
          <w:szCs w:val="18"/>
          <w:rtl/>
        </w:rPr>
      </w:pPr>
    </w:p>
    <w:p w14:paraId="5D3CAC82" w14:textId="77777777" w:rsidR="007C5E05" w:rsidRPr="00CF7502" w:rsidRDefault="007C5E05" w:rsidP="00323AE5">
      <w:pPr>
        <w:bidi w:val="0"/>
        <w:rPr>
          <w:rFonts w:cs="Times New Roman"/>
          <w:sz w:val="18"/>
          <w:szCs w:val="18"/>
        </w:rPr>
      </w:pPr>
      <w:r w:rsidRPr="00CF7502">
        <w:rPr>
          <w:rFonts w:cs="Times New Roman"/>
          <w:sz w:val="18"/>
          <w:szCs w:val="18"/>
        </w:rPr>
        <w:t>All correspondence should</w:t>
      </w:r>
      <w:r w:rsidRPr="00CF7502">
        <w:rPr>
          <w:rFonts w:cs="Times New Roman"/>
          <w:sz w:val="18"/>
          <w:szCs w:val="18"/>
          <w:rtl/>
        </w:rPr>
        <w:t xml:space="preserve"> </w:t>
      </w:r>
      <w:r w:rsidRPr="00CF7502">
        <w:rPr>
          <w:rFonts w:cs="Times New Roman"/>
          <w:sz w:val="18"/>
          <w:szCs w:val="18"/>
        </w:rPr>
        <w:t>be directed to</w:t>
      </w:r>
      <w:r w:rsidRPr="00CF7502">
        <w:rPr>
          <w:rFonts w:cs="Times New Roman"/>
          <w:sz w:val="18"/>
          <w:szCs w:val="18"/>
          <w:rtl/>
        </w:rPr>
        <w:t>:</w:t>
      </w:r>
    </w:p>
    <w:p w14:paraId="7BB2D230" w14:textId="77777777" w:rsidR="007C5E05" w:rsidRPr="00CF7502" w:rsidRDefault="007C5E05" w:rsidP="00323AE5">
      <w:pPr>
        <w:bidi w:val="0"/>
        <w:rPr>
          <w:rFonts w:cs="Times New Roman"/>
          <w:b/>
          <w:bCs/>
          <w:sz w:val="18"/>
          <w:szCs w:val="18"/>
        </w:rPr>
      </w:pPr>
      <w:r w:rsidRPr="00CF7502">
        <w:rPr>
          <w:rFonts w:cs="Times New Roman"/>
          <w:b/>
          <w:bCs/>
          <w:sz w:val="18"/>
          <w:szCs w:val="18"/>
        </w:rPr>
        <w:t xml:space="preserve">Palestinian Central Bureau of Statistics  </w:t>
      </w:r>
    </w:p>
    <w:p w14:paraId="163668E9" w14:textId="77777777" w:rsidR="007C5E05" w:rsidRPr="00CF7502" w:rsidRDefault="007C5E05" w:rsidP="00323AE5">
      <w:pPr>
        <w:bidi w:val="0"/>
        <w:rPr>
          <w:rFonts w:cs="Times New Roman"/>
          <w:b/>
          <w:bCs/>
          <w:sz w:val="18"/>
          <w:szCs w:val="18"/>
        </w:rPr>
      </w:pPr>
      <w:r w:rsidRPr="00CF7502">
        <w:rPr>
          <w:rFonts w:cs="Times New Roman"/>
          <w:b/>
          <w:bCs/>
          <w:sz w:val="18"/>
          <w:szCs w:val="18"/>
        </w:rPr>
        <w:t xml:space="preserve"> P. O. Box 1647, Ramallah  P6028179– Palestine. </w:t>
      </w:r>
    </w:p>
    <w:p w14:paraId="406374A8" w14:textId="77777777" w:rsidR="007C5E05" w:rsidRPr="00CF7502" w:rsidRDefault="007C5E05" w:rsidP="00323AE5">
      <w:pPr>
        <w:bidi w:val="0"/>
        <w:rPr>
          <w:rFonts w:cs="Times New Roman"/>
          <w:sz w:val="18"/>
          <w:szCs w:val="18"/>
          <w:lang w:eastAsia="fr-FR"/>
        </w:rPr>
      </w:pPr>
      <w:r w:rsidRPr="00CF7502">
        <w:rPr>
          <w:rFonts w:cs="Times New Roman"/>
          <w:sz w:val="18"/>
          <w:szCs w:val="18"/>
          <w:lang w:eastAsia="fr-FR"/>
        </w:rPr>
        <w:t xml:space="preserve">Tel: </w:t>
      </w:r>
      <w:r w:rsidRPr="00CF7502">
        <w:rPr>
          <w:rFonts w:cs="Times New Roman"/>
          <w:sz w:val="18"/>
          <w:szCs w:val="18"/>
        </w:rPr>
        <w:t>(970/972) 2 2982700</w:t>
      </w:r>
    </w:p>
    <w:p w14:paraId="427F2BD8" w14:textId="77777777" w:rsidR="007C5E05" w:rsidRPr="00CF7502" w:rsidRDefault="007C5E05" w:rsidP="00323AE5">
      <w:pPr>
        <w:bidi w:val="0"/>
        <w:rPr>
          <w:rFonts w:cs="Times New Roman"/>
          <w:sz w:val="18"/>
          <w:szCs w:val="18"/>
        </w:rPr>
      </w:pPr>
      <w:r w:rsidRPr="00CF7502">
        <w:rPr>
          <w:rFonts w:cs="Times New Roman"/>
          <w:sz w:val="18"/>
          <w:szCs w:val="18"/>
          <w:lang w:eastAsia="fr-FR"/>
        </w:rPr>
        <w:t xml:space="preserve">Fax: </w:t>
      </w:r>
      <w:r w:rsidRPr="00CF7502">
        <w:rPr>
          <w:rFonts w:cs="Times New Roman"/>
          <w:sz w:val="18"/>
          <w:szCs w:val="18"/>
        </w:rPr>
        <w:t>(970/972) 2 2982710</w:t>
      </w:r>
    </w:p>
    <w:p w14:paraId="23C1DD01" w14:textId="77777777" w:rsidR="007C5E05" w:rsidRPr="00CF7502" w:rsidRDefault="007C5E05" w:rsidP="00323AE5">
      <w:pPr>
        <w:bidi w:val="0"/>
        <w:rPr>
          <w:rFonts w:cs="Times New Roman"/>
          <w:sz w:val="18"/>
          <w:szCs w:val="18"/>
          <w:rtl/>
        </w:rPr>
      </w:pPr>
      <w:r w:rsidRPr="00CF7502">
        <w:rPr>
          <w:rFonts w:cs="Times New Roman"/>
          <w:sz w:val="18"/>
          <w:szCs w:val="18"/>
        </w:rPr>
        <w:t>Toll Free:1800300300</w:t>
      </w:r>
    </w:p>
    <w:p w14:paraId="5F48398A" w14:textId="77777777" w:rsidR="007C5E05" w:rsidRPr="00CF7502" w:rsidRDefault="007C5E05" w:rsidP="00323AE5">
      <w:pPr>
        <w:bidi w:val="0"/>
        <w:rPr>
          <w:rFonts w:cs="Times New Roman"/>
          <w:sz w:val="18"/>
          <w:szCs w:val="18"/>
        </w:rPr>
      </w:pPr>
      <w:r w:rsidRPr="00CF7502">
        <w:rPr>
          <w:rFonts w:cs="Times New Roman"/>
          <w:sz w:val="18"/>
          <w:szCs w:val="18"/>
          <w:lang w:eastAsia="fr-FR"/>
        </w:rPr>
        <w:t>E-Mail</w:t>
      </w:r>
      <w:r w:rsidRPr="00CF7502">
        <w:rPr>
          <w:rFonts w:cs="Times New Roman"/>
          <w:sz w:val="18"/>
          <w:szCs w:val="18"/>
          <w:rtl/>
        </w:rPr>
        <w:t xml:space="preserve">: </w:t>
      </w:r>
      <w:r w:rsidRPr="00CF7502">
        <w:rPr>
          <w:rFonts w:cs="Times New Roman"/>
          <w:sz w:val="18"/>
          <w:szCs w:val="18"/>
          <w:lang w:eastAsia="fr-FR"/>
        </w:rPr>
        <w:t>diwan@pcbs.gov.ps</w:t>
      </w:r>
    </w:p>
    <w:p w14:paraId="70D45C97" w14:textId="77777777" w:rsidR="007C5E05" w:rsidRPr="00CF7502" w:rsidRDefault="007C5E05" w:rsidP="00323AE5">
      <w:pPr>
        <w:pStyle w:val="BlockText"/>
        <w:ind w:left="0" w:right="-2"/>
        <w:jc w:val="left"/>
        <w:rPr>
          <w:b w:val="0"/>
          <w:bCs w:val="0"/>
          <w:sz w:val="18"/>
          <w:szCs w:val="18"/>
          <w:rtl/>
        </w:rPr>
      </w:pPr>
      <w:r w:rsidRPr="00CF7502">
        <w:rPr>
          <w:b w:val="0"/>
          <w:bCs w:val="0"/>
          <w:sz w:val="18"/>
          <w:szCs w:val="18"/>
        </w:rPr>
        <w:t xml:space="preserve">Website:  http://www.pcbs.gov.ps </w:t>
      </w:r>
      <w:r w:rsidRPr="00CF7502">
        <w:rPr>
          <w:b w:val="0"/>
          <w:bCs w:val="0"/>
          <w:sz w:val="18"/>
          <w:szCs w:val="18"/>
          <w:rtl/>
        </w:rPr>
        <w:t xml:space="preserve">   </w:t>
      </w:r>
    </w:p>
    <w:p w14:paraId="1DF0F78E" w14:textId="77777777" w:rsidR="007C5E05" w:rsidRPr="00CF7502" w:rsidRDefault="007C5E05" w:rsidP="00323AE5">
      <w:pPr>
        <w:pStyle w:val="BlockText"/>
        <w:ind w:left="0" w:right="-2"/>
        <w:jc w:val="right"/>
        <w:rPr>
          <w:sz w:val="18"/>
          <w:szCs w:val="18"/>
        </w:rPr>
      </w:pPr>
    </w:p>
    <w:p w14:paraId="36FC2A08" w14:textId="27E3BA92" w:rsidR="007C5E05" w:rsidRPr="00CF7502" w:rsidRDefault="007C5E05" w:rsidP="00CF7502">
      <w:pPr>
        <w:pStyle w:val="BlockText"/>
        <w:ind w:left="0" w:right="-2"/>
        <w:jc w:val="right"/>
        <w:rPr>
          <w:b w:val="0"/>
          <w:bCs w:val="0"/>
          <w:sz w:val="18"/>
          <w:szCs w:val="18"/>
        </w:rPr>
      </w:pPr>
      <w:r w:rsidRPr="00CF7502">
        <w:rPr>
          <w:sz w:val="18"/>
          <w:szCs w:val="18"/>
        </w:rPr>
        <w:t xml:space="preserve">Reference ID: </w:t>
      </w:r>
      <w:r w:rsidR="00CC607D">
        <w:rPr>
          <w:sz w:val="18"/>
          <w:szCs w:val="18"/>
        </w:rPr>
        <w:t>2733</w:t>
      </w:r>
      <w:bookmarkStart w:id="0" w:name="_GoBack"/>
      <w:bookmarkEnd w:id="0"/>
    </w:p>
    <w:p w14:paraId="02E54AB4" w14:textId="77777777" w:rsidR="007C5E05" w:rsidRPr="00B343CC" w:rsidRDefault="007C5E05" w:rsidP="00323AE5">
      <w:pPr>
        <w:bidi w:val="0"/>
        <w:jc w:val="center"/>
        <w:rPr>
          <w:rFonts w:cs="Times New Roman"/>
        </w:rPr>
      </w:pPr>
      <w:r w:rsidRPr="00B343CC">
        <w:rPr>
          <w:rFonts w:cs="Times New Roman"/>
        </w:rPr>
        <w:lastRenderedPageBreak/>
        <w:drawing>
          <wp:inline distT="0" distB="0" distL="0" distR="0" wp14:anchorId="01D81505" wp14:editId="59AAFFE9">
            <wp:extent cx="4680000" cy="7118833"/>
            <wp:effectExtent l="0" t="0" r="6350" b="635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8686" t="6640" r="8323" b="5546"/>
                    <a:stretch/>
                  </pic:blipFill>
                  <pic:spPr bwMode="auto">
                    <a:xfrm>
                      <a:off x="0" y="0"/>
                      <a:ext cx="4680000" cy="7118833"/>
                    </a:xfrm>
                    <a:prstGeom prst="rect">
                      <a:avLst/>
                    </a:prstGeom>
                    <a:noFill/>
                    <a:ln>
                      <a:noFill/>
                    </a:ln>
                    <a:extLst>
                      <a:ext uri="{53640926-AAD7-44D8-BBD7-CCE9431645EC}">
                        <a14:shadowObscured xmlns:a14="http://schemas.microsoft.com/office/drawing/2010/main"/>
                      </a:ext>
                    </a:extLst>
                  </pic:spPr>
                </pic:pic>
              </a:graphicData>
            </a:graphic>
          </wp:inline>
        </w:drawing>
      </w:r>
    </w:p>
    <w:p w14:paraId="316F8E0B" w14:textId="77777777" w:rsidR="007C5E05" w:rsidRPr="00B343CC" w:rsidRDefault="007C5E05" w:rsidP="00323AE5">
      <w:pPr>
        <w:pStyle w:val="Title"/>
        <w:rPr>
          <w:sz w:val="20"/>
          <w:szCs w:val="20"/>
        </w:rPr>
      </w:pPr>
    </w:p>
    <w:p w14:paraId="1FA90DBF" w14:textId="77777777" w:rsidR="007C5E05" w:rsidRPr="00B343CC" w:rsidRDefault="007C5E05" w:rsidP="00323AE5">
      <w:pPr>
        <w:pStyle w:val="Title"/>
        <w:rPr>
          <w:sz w:val="20"/>
          <w:szCs w:val="20"/>
        </w:rPr>
      </w:pPr>
    </w:p>
    <w:p w14:paraId="33812963" w14:textId="77777777" w:rsidR="007C5E05" w:rsidRPr="00B343CC" w:rsidRDefault="007C5E05" w:rsidP="00323AE5">
      <w:pPr>
        <w:pStyle w:val="Title"/>
        <w:rPr>
          <w:sz w:val="20"/>
          <w:szCs w:val="20"/>
        </w:rPr>
      </w:pPr>
    </w:p>
    <w:p w14:paraId="7D1D7C00" w14:textId="77777777" w:rsidR="00026664" w:rsidRPr="00B343CC" w:rsidRDefault="007C5E05" w:rsidP="009A66EF">
      <w:pPr>
        <w:bidi w:val="0"/>
        <w:rPr>
          <w:rFonts w:cs="Times New Roman"/>
          <w:b/>
          <w:bCs/>
        </w:rPr>
      </w:pPr>
      <w:r w:rsidRPr="00B343CC">
        <w:rPr>
          <w:rFonts w:cs="Times New Roman"/>
        </w:rPr>
        <w:br w:type="page"/>
      </w:r>
    </w:p>
    <w:p w14:paraId="6F2AFF50" w14:textId="77777777" w:rsidR="007C5E05" w:rsidRPr="00B343CC" w:rsidRDefault="007C5E05" w:rsidP="00323AE5">
      <w:pPr>
        <w:pStyle w:val="Title"/>
        <w:rPr>
          <w:b w:val="0"/>
          <w:bCs w:val="0"/>
          <w:sz w:val="26"/>
          <w:szCs w:val="26"/>
        </w:rPr>
      </w:pPr>
      <w:r w:rsidRPr="00B343CC">
        <w:rPr>
          <w:sz w:val="26"/>
          <w:szCs w:val="26"/>
        </w:rPr>
        <w:lastRenderedPageBreak/>
        <w:t>Acknowledgment</w:t>
      </w:r>
    </w:p>
    <w:p w14:paraId="5F918EE1" w14:textId="77777777" w:rsidR="007C5E05" w:rsidRPr="00B343CC" w:rsidRDefault="007C5E05" w:rsidP="00323AE5">
      <w:pPr>
        <w:autoSpaceDE w:val="0"/>
        <w:autoSpaceDN w:val="0"/>
        <w:bidi w:val="0"/>
        <w:adjustRightInd w:val="0"/>
        <w:jc w:val="center"/>
        <w:rPr>
          <w:rFonts w:cs="Times New Roman"/>
          <w:b/>
          <w:bCs/>
        </w:rPr>
      </w:pPr>
    </w:p>
    <w:p w14:paraId="6E234073" w14:textId="77777777" w:rsidR="007C5E05" w:rsidRPr="00B343CC" w:rsidRDefault="007C5E05" w:rsidP="00323AE5">
      <w:pPr>
        <w:pStyle w:val="Title"/>
        <w:jc w:val="lowKashida"/>
        <w:rPr>
          <w:sz w:val="20"/>
          <w:szCs w:val="20"/>
        </w:rPr>
      </w:pPr>
      <w:r w:rsidRPr="00B343CC">
        <w:rPr>
          <w:sz w:val="20"/>
          <w:szCs w:val="20"/>
        </w:rPr>
        <w:t>The Palestinian Central Bureau of Statistics (PCBS) extends its deep appreciation to all those who contributed to the production of this yearbook.</w:t>
      </w:r>
    </w:p>
    <w:p w14:paraId="596C7F80" w14:textId="77777777" w:rsidR="007C5E05" w:rsidRPr="00B343CC" w:rsidRDefault="007C5E05" w:rsidP="00323AE5">
      <w:pPr>
        <w:pStyle w:val="Title"/>
        <w:jc w:val="lowKashida"/>
        <w:rPr>
          <w:sz w:val="20"/>
          <w:szCs w:val="20"/>
        </w:rPr>
      </w:pPr>
    </w:p>
    <w:p w14:paraId="326437EE" w14:textId="18F8C1ED" w:rsidR="007C5E05" w:rsidRPr="00B343CC" w:rsidRDefault="007C5E05" w:rsidP="0025341E">
      <w:pPr>
        <w:pStyle w:val="Title"/>
        <w:jc w:val="lowKashida"/>
        <w:rPr>
          <w:sz w:val="20"/>
          <w:szCs w:val="20"/>
        </w:rPr>
      </w:pPr>
      <w:r w:rsidRPr="00B343CC">
        <w:rPr>
          <w:sz w:val="20"/>
          <w:szCs w:val="20"/>
        </w:rPr>
        <w:t xml:space="preserve">The Statistical Yearbook of Palestine </w:t>
      </w:r>
      <w:r w:rsidR="0025341E" w:rsidRPr="00B343CC">
        <w:rPr>
          <w:rFonts w:hint="cs"/>
          <w:sz w:val="20"/>
          <w:szCs w:val="20"/>
          <w:rtl/>
        </w:rPr>
        <w:t>2025</w:t>
      </w:r>
      <w:r w:rsidRPr="00B343CC">
        <w:rPr>
          <w:sz w:val="20"/>
          <w:szCs w:val="20"/>
        </w:rPr>
        <w:t xml:space="preserve"> was prepared by a technical team from PCBS with joint funding from the State of Palestine and the Core Funding Group (CFG) for </w:t>
      </w:r>
      <w:r w:rsidR="0025341E" w:rsidRPr="00B343CC">
        <w:rPr>
          <w:rFonts w:hint="cs"/>
          <w:sz w:val="20"/>
          <w:szCs w:val="20"/>
          <w:rtl/>
        </w:rPr>
        <w:t>2025</w:t>
      </w:r>
      <w:r w:rsidRPr="00B343CC">
        <w:rPr>
          <w:sz w:val="20"/>
          <w:szCs w:val="20"/>
        </w:rPr>
        <w:t>, represented by the Representative Office of Norway to State of Palestine.</w:t>
      </w:r>
    </w:p>
    <w:p w14:paraId="49C2648D" w14:textId="77777777" w:rsidR="007C5E05" w:rsidRPr="00B343CC" w:rsidRDefault="007C5E05" w:rsidP="00323AE5">
      <w:pPr>
        <w:pStyle w:val="Title"/>
        <w:jc w:val="lowKashida"/>
        <w:rPr>
          <w:sz w:val="20"/>
          <w:szCs w:val="20"/>
        </w:rPr>
      </w:pPr>
    </w:p>
    <w:p w14:paraId="41984CD0" w14:textId="439C3186" w:rsidR="007C5E05" w:rsidRPr="00B343CC" w:rsidRDefault="007C5E05" w:rsidP="00C35681">
      <w:pPr>
        <w:pStyle w:val="Title"/>
        <w:jc w:val="lowKashida"/>
        <w:rPr>
          <w:sz w:val="20"/>
          <w:szCs w:val="20"/>
        </w:rPr>
      </w:pPr>
      <w:r w:rsidRPr="00B343CC">
        <w:rPr>
          <w:sz w:val="20"/>
          <w:szCs w:val="20"/>
        </w:rPr>
        <w:t>Moreover, PCBS is very grateful to the Core Funding Group (CFG) for its valuable contribution towards the funding of this book.</w:t>
      </w:r>
    </w:p>
    <w:p w14:paraId="0AC7AE5E" w14:textId="77777777" w:rsidR="007C5E05" w:rsidRPr="00B343CC" w:rsidRDefault="007C5E05" w:rsidP="00323AE5">
      <w:pPr>
        <w:rPr>
          <w:rFonts w:cs="Times New Roman"/>
          <w:b/>
          <w:bCs/>
        </w:rPr>
      </w:pPr>
    </w:p>
    <w:p w14:paraId="297907B8" w14:textId="77777777" w:rsidR="007C5E05" w:rsidRPr="00B343CC" w:rsidRDefault="007C5E05" w:rsidP="00323AE5">
      <w:pPr>
        <w:tabs>
          <w:tab w:val="left" w:pos="4395"/>
        </w:tabs>
        <w:bidi w:val="0"/>
        <w:ind w:left="-1"/>
        <w:jc w:val="lowKashida"/>
        <w:rPr>
          <w:rFonts w:cs="Times New Roman"/>
          <w:b/>
          <w:bCs/>
        </w:rPr>
      </w:pPr>
    </w:p>
    <w:p w14:paraId="2329E0D5" w14:textId="77777777" w:rsidR="007C5E05" w:rsidRPr="00B343CC" w:rsidRDefault="007C5E05" w:rsidP="00323AE5">
      <w:pPr>
        <w:pStyle w:val="Title"/>
        <w:rPr>
          <w:sz w:val="20"/>
          <w:szCs w:val="20"/>
        </w:rPr>
      </w:pPr>
    </w:p>
    <w:p w14:paraId="18A30DB1" w14:textId="77777777" w:rsidR="007C5E05" w:rsidRPr="00B343CC" w:rsidRDefault="007C5E05" w:rsidP="00323AE5">
      <w:pPr>
        <w:pStyle w:val="Title"/>
        <w:rPr>
          <w:sz w:val="20"/>
          <w:szCs w:val="20"/>
        </w:rPr>
      </w:pPr>
    </w:p>
    <w:p w14:paraId="42510FA0" w14:textId="77777777" w:rsidR="007C5E05" w:rsidRPr="00B343CC" w:rsidRDefault="007C5E05" w:rsidP="00323AE5">
      <w:pPr>
        <w:pStyle w:val="Title"/>
        <w:rPr>
          <w:sz w:val="20"/>
          <w:szCs w:val="20"/>
        </w:rPr>
      </w:pPr>
    </w:p>
    <w:p w14:paraId="3AD13C2D" w14:textId="77777777" w:rsidR="007C5E05" w:rsidRPr="00B343CC" w:rsidRDefault="007C5E05" w:rsidP="00323AE5">
      <w:pPr>
        <w:pStyle w:val="Title"/>
        <w:rPr>
          <w:sz w:val="20"/>
          <w:szCs w:val="20"/>
        </w:rPr>
      </w:pPr>
    </w:p>
    <w:p w14:paraId="07FE5607" w14:textId="77777777" w:rsidR="007C5E05" w:rsidRPr="00B343CC" w:rsidRDefault="007C5E05" w:rsidP="00323AE5">
      <w:pPr>
        <w:pStyle w:val="Title"/>
        <w:rPr>
          <w:sz w:val="20"/>
          <w:szCs w:val="20"/>
        </w:rPr>
      </w:pPr>
    </w:p>
    <w:p w14:paraId="43370F8D" w14:textId="77777777" w:rsidR="007C5E05" w:rsidRPr="00B343CC" w:rsidRDefault="007C5E05" w:rsidP="00323AE5">
      <w:pPr>
        <w:pStyle w:val="Title"/>
        <w:rPr>
          <w:sz w:val="20"/>
          <w:szCs w:val="20"/>
        </w:rPr>
      </w:pPr>
    </w:p>
    <w:p w14:paraId="325C793A" w14:textId="77777777" w:rsidR="007C5E05" w:rsidRPr="00B343CC" w:rsidRDefault="007C5E05" w:rsidP="00323AE5">
      <w:pPr>
        <w:pStyle w:val="Title"/>
        <w:rPr>
          <w:sz w:val="20"/>
          <w:szCs w:val="20"/>
        </w:rPr>
      </w:pPr>
    </w:p>
    <w:p w14:paraId="20A37A38" w14:textId="77777777" w:rsidR="007C5E05" w:rsidRPr="00B343CC" w:rsidRDefault="007C5E05" w:rsidP="00323AE5">
      <w:pPr>
        <w:pStyle w:val="Title"/>
        <w:rPr>
          <w:sz w:val="20"/>
          <w:szCs w:val="20"/>
        </w:rPr>
      </w:pPr>
    </w:p>
    <w:p w14:paraId="3A946925" w14:textId="77777777" w:rsidR="007C5E05" w:rsidRPr="00B343CC" w:rsidRDefault="007C5E05" w:rsidP="00323AE5">
      <w:pPr>
        <w:pStyle w:val="Title"/>
        <w:rPr>
          <w:sz w:val="20"/>
          <w:szCs w:val="20"/>
        </w:rPr>
      </w:pPr>
    </w:p>
    <w:p w14:paraId="6A92901F" w14:textId="77777777" w:rsidR="007C5E05" w:rsidRPr="00B343CC" w:rsidRDefault="007C5E05" w:rsidP="00323AE5">
      <w:pPr>
        <w:pStyle w:val="Title"/>
        <w:rPr>
          <w:sz w:val="20"/>
          <w:szCs w:val="20"/>
        </w:rPr>
      </w:pPr>
    </w:p>
    <w:p w14:paraId="13AFF3BE" w14:textId="77777777" w:rsidR="007C5E05" w:rsidRPr="00B343CC" w:rsidRDefault="007C5E05" w:rsidP="00323AE5">
      <w:pPr>
        <w:pStyle w:val="Title"/>
        <w:rPr>
          <w:sz w:val="20"/>
          <w:szCs w:val="20"/>
        </w:rPr>
      </w:pPr>
    </w:p>
    <w:p w14:paraId="60268AE0" w14:textId="77777777" w:rsidR="007C5E05" w:rsidRPr="00B343CC" w:rsidRDefault="007C5E05" w:rsidP="00323AE5">
      <w:pPr>
        <w:pStyle w:val="Title"/>
        <w:rPr>
          <w:sz w:val="20"/>
          <w:szCs w:val="20"/>
        </w:rPr>
      </w:pPr>
    </w:p>
    <w:p w14:paraId="41AA9ED3" w14:textId="77777777" w:rsidR="007C5E05" w:rsidRPr="00B343CC" w:rsidRDefault="007C5E05" w:rsidP="00323AE5">
      <w:pPr>
        <w:pStyle w:val="Title"/>
        <w:rPr>
          <w:sz w:val="20"/>
          <w:szCs w:val="20"/>
        </w:rPr>
      </w:pPr>
    </w:p>
    <w:p w14:paraId="499BCA43" w14:textId="77777777" w:rsidR="007C5E05" w:rsidRPr="00B343CC" w:rsidRDefault="007C5E05" w:rsidP="00323AE5">
      <w:pPr>
        <w:pStyle w:val="Title"/>
        <w:rPr>
          <w:sz w:val="20"/>
          <w:szCs w:val="20"/>
        </w:rPr>
      </w:pPr>
    </w:p>
    <w:p w14:paraId="78AB3C5C" w14:textId="77777777" w:rsidR="007C5E05" w:rsidRPr="00B343CC" w:rsidRDefault="007C5E05" w:rsidP="00323AE5">
      <w:pPr>
        <w:pStyle w:val="Title"/>
        <w:rPr>
          <w:sz w:val="20"/>
          <w:szCs w:val="20"/>
        </w:rPr>
      </w:pPr>
    </w:p>
    <w:p w14:paraId="5C379553" w14:textId="77777777" w:rsidR="007C5E05" w:rsidRPr="00B343CC" w:rsidRDefault="007C5E05" w:rsidP="00323AE5">
      <w:pPr>
        <w:pStyle w:val="Title"/>
        <w:rPr>
          <w:sz w:val="20"/>
          <w:szCs w:val="20"/>
        </w:rPr>
      </w:pPr>
    </w:p>
    <w:p w14:paraId="5B686D63" w14:textId="77777777" w:rsidR="007C5E05" w:rsidRPr="00B343CC" w:rsidRDefault="007C5E05" w:rsidP="00323AE5">
      <w:pPr>
        <w:pStyle w:val="Title"/>
        <w:rPr>
          <w:sz w:val="20"/>
          <w:szCs w:val="20"/>
        </w:rPr>
      </w:pPr>
    </w:p>
    <w:p w14:paraId="50395FCE" w14:textId="77777777" w:rsidR="007C5E05" w:rsidRPr="00B343CC" w:rsidRDefault="007C5E05" w:rsidP="00323AE5">
      <w:pPr>
        <w:pStyle w:val="Title"/>
        <w:rPr>
          <w:sz w:val="20"/>
          <w:szCs w:val="20"/>
        </w:rPr>
      </w:pPr>
    </w:p>
    <w:p w14:paraId="441D50CE" w14:textId="77777777" w:rsidR="007C5E05" w:rsidRPr="00B343CC" w:rsidRDefault="007C5E05" w:rsidP="00323AE5">
      <w:pPr>
        <w:pStyle w:val="Title"/>
        <w:rPr>
          <w:sz w:val="20"/>
          <w:szCs w:val="20"/>
        </w:rPr>
      </w:pPr>
    </w:p>
    <w:p w14:paraId="33B1C90D" w14:textId="77777777" w:rsidR="007C5E05" w:rsidRPr="00B343CC" w:rsidRDefault="007C5E05" w:rsidP="00323AE5">
      <w:pPr>
        <w:pStyle w:val="Title"/>
        <w:rPr>
          <w:sz w:val="20"/>
          <w:szCs w:val="20"/>
        </w:rPr>
      </w:pPr>
    </w:p>
    <w:p w14:paraId="467AC5DF" w14:textId="77777777" w:rsidR="007C5E05" w:rsidRPr="00B343CC" w:rsidRDefault="007C5E05" w:rsidP="00323AE5">
      <w:pPr>
        <w:pStyle w:val="Title"/>
        <w:rPr>
          <w:sz w:val="20"/>
          <w:szCs w:val="20"/>
        </w:rPr>
      </w:pPr>
    </w:p>
    <w:p w14:paraId="6F05E728" w14:textId="77777777" w:rsidR="007C5E05" w:rsidRPr="00B343CC" w:rsidRDefault="007C5E05" w:rsidP="00323AE5">
      <w:pPr>
        <w:pStyle w:val="Title"/>
        <w:rPr>
          <w:sz w:val="20"/>
          <w:szCs w:val="20"/>
        </w:rPr>
      </w:pPr>
    </w:p>
    <w:p w14:paraId="5081DFFE" w14:textId="77777777" w:rsidR="007C5E05" w:rsidRPr="00B343CC" w:rsidRDefault="007C5E05" w:rsidP="00323AE5">
      <w:pPr>
        <w:pStyle w:val="Title"/>
        <w:rPr>
          <w:sz w:val="20"/>
          <w:szCs w:val="20"/>
        </w:rPr>
      </w:pPr>
    </w:p>
    <w:p w14:paraId="217AF3DC" w14:textId="77777777" w:rsidR="007C5E05" w:rsidRPr="00B343CC" w:rsidRDefault="007C5E05" w:rsidP="00323AE5">
      <w:pPr>
        <w:pStyle w:val="Title"/>
        <w:rPr>
          <w:sz w:val="20"/>
          <w:szCs w:val="20"/>
        </w:rPr>
      </w:pPr>
    </w:p>
    <w:p w14:paraId="04E9F792" w14:textId="77777777" w:rsidR="007C5E05" w:rsidRPr="00B343CC" w:rsidRDefault="007C5E05" w:rsidP="00323AE5">
      <w:pPr>
        <w:pStyle w:val="Title"/>
        <w:rPr>
          <w:sz w:val="20"/>
          <w:szCs w:val="20"/>
        </w:rPr>
      </w:pPr>
    </w:p>
    <w:p w14:paraId="1ECB5BCE" w14:textId="77777777" w:rsidR="007C5E05" w:rsidRPr="00B343CC" w:rsidRDefault="007C5E05" w:rsidP="00323AE5">
      <w:pPr>
        <w:pStyle w:val="Title"/>
        <w:rPr>
          <w:sz w:val="20"/>
          <w:szCs w:val="20"/>
        </w:rPr>
      </w:pPr>
    </w:p>
    <w:p w14:paraId="7A8DB76A" w14:textId="77777777" w:rsidR="007C5E05" w:rsidRPr="00B343CC" w:rsidRDefault="007C5E05" w:rsidP="00323AE5">
      <w:pPr>
        <w:pStyle w:val="Title"/>
        <w:rPr>
          <w:sz w:val="20"/>
          <w:szCs w:val="20"/>
        </w:rPr>
      </w:pPr>
    </w:p>
    <w:p w14:paraId="29C24596" w14:textId="77777777" w:rsidR="007C5E05" w:rsidRPr="00B343CC" w:rsidRDefault="007C5E05" w:rsidP="00323AE5">
      <w:pPr>
        <w:pStyle w:val="Title"/>
        <w:rPr>
          <w:sz w:val="20"/>
          <w:szCs w:val="20"/>
        </w:rPr>
      </w:pPr>
    </w:p>
    <w:p w14:paraId="1CF44A82" w14:textId="77777777" w:rsidR="007C5E05" w:rsidRPr="00B343CC" w:rsidRDefault="007C5E05" w:rsidP="00323AE5">
      <w:pPr>
        <w:pStyle w:val="Title"/>
        <w:rPr>
          <w:sz w:val="20"/>
          <w:szCs w:val="20"/>
        </w:rPr>
      </w:pPr>
    </w:p>
    <w:p w14:paraId="62DB2DD9" w14:textId="77777777" w:rsidR="007C5E05" w:rsidRPr="00B343CC" w:rsidRDefault="007C5E05" w:rsidP="00323AE5">
      <w:pPr>
        <w:pStyle w:val="Title"/>
        <w:rPr>
          <w:sz w:val="20"/>
          <w:szCs w:val="20"/>
        </w:rPr>
      </w:pPr>
    </w:p>
    <w:p w14:paraId="0D7AC8C2" w14:textId="77777777" w:rsidR="007C5E05" w:rsidRPr="00B343CC" w:rsidRDefault="007C5E05" w:rsidP="00323AE5">
      <w:pPr>
        <w:pStyle w:val="Title"/>
        <w:rPr>
          <w:sz w:val="20"/>
          <w:szCs w:val="20"/>
        </w:rPr>
      </w:pPr>
    </w:p>
    <w:p w14:paraId="3A7475AC" w14:textId="77777777" w:rsidR="007C5E05" w:rsidRPr="00B343CC" w:rsidRDefault="007C5E05" w:rsidP="00323AE5">
      <w:pPr>
        <w:pStyle w:val="Title"/>
        <w:rPr>
          <w:sz w:val="20"/>
          <w:szCs w:val="20"/>
        </w:rPr>
      </w:pPr>
    </w:p>
    <w:p w14:paraId="20D30DFE" w14:textId="77777777" w:rsidR="007C5E05" w:rsidRPr="00B343CC" w:rsidRDefault="007C5E05" w:rsidP="00323AE5">
      <w:pPr>
        <w:pStyle w:val="Title"/>
        <w:rPr>
          <w:sz w:val="20"/>
          <w:szCs w:val="20"/>
        </w:rPr>
      </w:pPr>
    </w:p>
    <w:p w14:paraId="5BCCA030" w14:textId="77777777" w:rsidR="007C5E05" w:rsidRPr="00B343CC" w:rsidRDefault="007C5E05" w:rsidP="00323AE5">
      <w:pPr>
        <w:pStyle w:val="Title"/>
        <w:rPr>
          <w:sz w:val="20"/>
          <w:szCs w:val="20"/>
        </w:rPr>
      </w:pPr>
    </w:p>
    <w:p w14:paraId="542A4640" w14:textId="77777777" w:rsidR="007C5E05" w:rsidRPr="00B343CC" w:rsidRDefault="007C5E05" w:rsidP="00323AE5">
      <w:pPr>
        <w:pStyle w:val="Title"/>
        <w:rPr>
          <w:sz w:val="20"/>
          <w:szCs w:val="20"/>
        </w:rPr>
      </w:pPr>
    </w:p>
    <w:p w14:paraId="74D5E5E8" w14:textId="77777777" w:rsidR="007C5E05" w:rsidRPr="00B343CC" w:rsidRDefault="007C5E05" w:rsidP="00323AE5">
      <w:pPr>
        <w:pStyle w:val="Title"/>
        <w:rPr>
          <w:sz w:val="20"/>
          <w:szCs w:val="20"/>
        </w:rPr>
      </w:pPr>
    </w:p>
    <w:p w14:paraId="4CE1DB42" w14:textId="77777777" w:rsidR="007C5E05" w:rsidRPr="00B343CC" w:rsidRDefault="007C5E05" w:rsidP="00323AE5">
      <w:pPr>
        <w:pStyle w:val="Title"/>
        <w:rPr>
          <w:sz w:val="20"/>
          <w:szCs w:val="20"/>
        </w:rPr>
      </w:pPr>
    </w:p>
    <w:p w14:paraId="0FA55510" w14:textId="77777777" w:rsidR="007C5E05" w:rsidRPr="00B343CC" w:rsidRDefault="007C5E05" w:rsidP="00323AE5">
      <w:pPr>
        <w:pStyle w:val="Title"/>
        <w:rPr>
          <w:sz w:val="20"/>
          <w:szCs w:val="20"/>
        </w:rPr>
      </w:pPr>
    </w:p>
    <w:p w14:paraId="54BCF15F" w14:textId="77777777" w:rsidR="007C5E05" w:rsidRPr="00B343CC" w:rsidRDefault="007C5E05" w:rsidP="00323AE5">
      <w:pPr>
        <w:pStyle w:val="Title"/>
        <w:rPr>
          <w:sz w:val="20"/>
          <w:szCs w:val="20"/>
        </w:rPr>
      </w:pPr>
    </w:p>
    <w:p w14:paraId="6F84A9F1" w14:textId="77777777" w:rsidR="007C5E05" w:rsidRPr="00B343CC" w:rsidRDefault="007C5E05" w:rsidP="00323AE5">
      <w:pPr>
        <w:pStyle w:val="Title"/>
        <w:rPr>
          <w:sz w:val="20"/>
          <w:szCs w:val="20"/>
        </w:rPr>
      </w:pPr>
    </w:p>
    <w:p w14:paraId="4F7879FC" w14:textId="77777777" w:rsidR="007C5E05" w:rsidRPr="00B343CC" w:rsidRDefault="007C5E05" w:rsidP="00323AE5">
      <w:pPr>
        <w:pStyle w:val="Title"/>
        <w:rPr>
          <w:sz w:val="20"/>
          <w:szCs w:val="20"/>
        </w:rPr>
      </w:pPr>
    </w:p>
    <w:p w14:paraId="5BECA711" w14:textId="77777777" w:rsidR="007C5E05" w:rsidRPr="00B343CC" w:rsidRDefault="007C5E05" w:rsidP="00323AE5">
      <w:pPr>
        <w:pStyle w:val="Title"/>
        <w:rPr>
          <w:sz w:val="20"/>
          <w:szCs w:val="20"/>
        </w:rPr>
      </w:pPr>
    </w:p>
    <w:p w14:paraId="20D20DF2" w14:textId="77777777" w:rsidR="007C5E05" w:rsidRPr="00B343CC" w:rsidRDefault="007C5E05" w:rsidP="00323AE5">
      <w:pPr>
        <w:pStyle w:val="Title"/>
        <w:rPr>
          <w:sz w:val="20"/>
          <w:szCs w:val="20"/>
        </w:rPr>
      </w:pPr>
    </w:p>
    <w:p w14:paraId="356DBD6E" w14:textId="77777777" w:rsidR="007C5E05" w:rsidRPr="00B343CC" w:rsidRDefault="007C5E05" w:rsidP="00323AE5">
      <w:pPr>
        <w:pStyle w:val="Title"/>
        <w:rPr>
          <w:sz w:val="20"/>
          <w:szCs w:val="20"/>
        </w:rPr>
      </w:pPr>
    </w:p>
    <w:p w14:paraId="4E08E77F" w14:textId="77777777" w:rsidR="007C5E05" w:rsidRPr="00B343CC" w:rsidRDefault="007C5E05" w:rsidP="00323AE5">
      <w:pPr>
        <w:pStyle w:val="Title"/>
        <w:rPr>
          <w:sz w:val="20"/>
          <w:szCs w:val="20"/>
        </w:rPr>
      </w:pPr>
    </w:p>
    <w:p w14:paraId="46A5D85D" w14:textId="77777777" w:rsidR="007C5E05" w:rsidRPr="00B343CC" w:rsidRDefault="007C5E05" w:rsidP="00323AE5">
      <w:pPr>
        <w:pStyle w:val="Title"/>
        <w:rPr>
          <w:sz w:val="20"/>
          <w:szCs w:val="20"/>
        </w:rPr>
      </w:pPr>
    </w:p>
    <w:p w14:paraId="636A50D5" w14:textId="77777777" w:rsidR="007C5E05" w:rsidRPr="00B343CC" w:rsidRDefault="007C5E05" w:rsidP="00323AE5">
      <w:pPr>
        <w:pStyle w:val="Title"/>
        <w:rPr>
          <w:sz w:val="20"/>
          <w:szCs w:val="20"/>
        </w:rPr>
      </w:pPr>
    </w:p>
    <w:p w14:paraId="00ABEE8C" w14:textId="77777777" w:rsidR="007C5E05" w:rsidRPr="00B343CC" w:rsidRDefault="007C5E05" w:rsidP="00323AE5">
      <w:pPr>
        <w:pStyle w:val="Title"/>
        <w:rPr>
          <w:sz w:val="20"/>
          <w:szCs w:val="20"/>
        </w:rPr>
      </w:pPr>
    </w:p>
    <w:p w14:paraId="5EEB2B4D" w14:textId="77777777" w:rsidR="007C5E05" w:rsidRPr="00B343CC" w:rsidRDefault="007C5E05" w:rsidP="00323AE5">
      <w:pPr>
        <w:pStyle w:val="Title"/>
        <w:rPr>
          <w:sz w:val="20"/>
          <w:szCs w:val="20"/>
        </w:rPr>
      </w:pPr>
    </w:p>
    <w:p w14:paraId="7EE91CE2" w14:textId="77777777" w:rsidR="007C5E05" w:rsidRPr="00B343CC" w:rsidRDefault="007C5E05" w:rsidP="00323AE5">
      <w:pPr>
        <w:pStyle w:val="Title"/>
        <w:rPr>
          <w:sz w:val="20"/>
          <w:szCs w:val="20"/>
        </w:rPr>
      </w:pPr>
    </w:p>
    <w:p w14:paraId="500615B1" w14:textId="77777777" w:rsidR="007C5E05" w:rsidRPr="00B343CC" w:rsidRDefault="007C5E05" w:rsidP="00323AE5">
      <w:pPr>
        <w:pStyle w:val="Title"/>
        <w:rPr>
          <w:sz w:val="20"/>
          <w:szCs w:val="20"/>
        </w:rPr>
      </w:pPr>
    </w:p>
    <w:p w14:paraId="147B106E" w14:textId="77777777" w:rsidR="007C5E05" w:rsidRPr="00B343CC" w:rsidRDefault="007C5E05" w:rsidP="00323AE5">
      <w:pPr>
        <w:pStyle w:val="Title"/>
        <w:rPr>
          <w:sz w:val="20"/>
          <w:szCs w:val="20"/>
        </w:rPr>
      </w:pPr>
    </w:p>
    <w:p w14:paraId="5031F95E" w14:textId="77777777" w:rsidR="007C5E05" w:rsidRPr="00B343CC" w:rsidRDefault="007C5E05" w:rsidP="00323AE5">
      <w:pPr>
        <w:pStyle w:val="Title"/>
        <w:rPr>
          <w:sz w:val="20"/>
          <w:szCs w:val="20"/>
        </w:rPr>
      </w:pPr>
    </w:p>
    <w:p w14:paraId="283867D6" w14:textId="77777777" w:rsidR="007C5E05" w:rsidRPr="00B343CC" w:rsidRDefault="007C5E05" w:rsidP="00323AE5">
      <w:pPr>
        <w:pStyle w:val="Title"/>
        <w:rPr>
          <w:sz w:val="20"/>
          <w:szCs w:val="20"/>
        </w:rPr>
      </w:pPr>
    </w:p>
    <w:p w14:paraId="16F44AAC" w14:textId="77777777" w:rsidR="007C5E05" w:rsidRPr="00B343CC" w:rsidRDefault="007C5E05" w:rsidP="00323AE5">
      <w:pPr>
        <w:pStyle w:val="Title"/>
        <w:rPr>
          <w:sz w:val="20"/>
          <w:szCs w:val="20"/>
        </w:rPr>
      </w:pPr>
    </w:p>
    <w:p w14:paraId="34E1585D" w14:textId="77777777" w:rsidR="007C5E05" w:rsidRPr="00B343CC" w:rsidRDefault="007C5E05" w:rsidP="00323AE5">
      <w:pPr>
        <w:pStyle w:val="Title"/>
        <w:rPr>
          <w:sz w:val="20"/>
          <w:szCs w:val="20"/>
        </w:rPr>
      </w:pPr>
    </w:p>
    <w:p w14:paraId="4407C43F" w14:textId="77777777" w:rsidR="007C5E05" w:rsidRPr="00B343CC" w:rsidRDefault="007C5E05" w:rsidP="00323AE5">
      <w:pPr>
        <w:pStyle w:val="Title"/>
        <w:rPr>
          <w:sz w:val="20"/>
          <w:szCs w:val="20"/>
        </w:rPr>
      </w:pPr>
    </w:p>
    <w:p w14:paraId="79008444" w14:textId="77777777" w:rsidR="007C5E05" w:rsidRPr="00B343CC" w:rsidRDefault="007C5E05" w:rsidP="00323AE5">
      <w:pPr>
        <w:pStyle w:val="Title"/>
        <w:rPr>
          <w:sz w:val="20"/>
          <w:szCs w:val="20"/>
        </w:rPr>
      </w:pPr>
    </w:p>
    <w:p w14:paraId="23DF2DAD" w14:textId="77777777" w:rsidR="007C5E05" w:rsidRPr="00B343CC" w:rsidRDefault="007C5E05" w:rsidP="00323AE5">
      <w:pPr>
        <w:pStyle w:val="Title"/>
        <w:rPr>
          <w:sz w:val="20"/>
          <w:szCs w:val="20"/>
        </w:rPr>
      </w:pPr>
    </w:p>
    <w:p w14:paraId="43E7FAD2" w14:textId="77777777" w:rsidR="007C5E05" w:rsidRPr="00B343CC" w:rsidRDefault="007C5E05" w:rsidP="00323AE5">
      <w:pPr>
        <w:pStyle w:val="Title"/>
        <w:rPr>
          <w:sz w:val="20"/>
          <w:szCs w:val="20"/>
        </w:rPr>
      </w:pPr>
    </w:p>
    <w:p w14:paraId="358E343D" w14:textId="77777777" w:rsidR="007C5E05" w:rsidRPr="00B343CC" w:rsidRDefault="007C5E05" w:rsidP="00323AE5">
      <w:pPr>
        <w:pStyle w:val="Title"/>
        <w:rPr>
          <w:sz w:val="20"/>
          <w:szCs w:val="20"/>
        </w:rPr>
      </w:pPr>
    </w:p>
    <w:p w14:paraId="2B76DBDB" w14:textId="77777777" w:rsidR="007C5E05" w:rsidRPr="00B343CC" w:rsidRDefault="007C5E05" w:rsidP="00323AE5">
      <w:pPr>
        <w:pStyle w:val="Title"/>
        <w:rPr>
          <w:sz w:val="20"/>
          <w:szCs w:val="20"/>
        </w:rPr>
      </w:pPr>
    </w:p>
    <w:p w14:paraId="09DD3648" w14:textId="77777777" w:rsidR="007C5E05" w:rsidRPr="00B343CC" w:rsidRDefault="007C5E05" w:rsidP="00323AE5">
      <w:pPr>
        <w:pStyle w:val="Title"/>
        <w:rPr>
          <w:sz w:val="20"/>
          <w:szCs w:val="20"/>
        </w:rPr>
      </w:pPr>
    </w:p>
    <w:p w14:paraId="067813D8" w14:textId="77777777" w:rsidR="007C5E05" w:rsidRPr="00B343CC" w:rsidRDefault="007C5E05" w:rsidP="00323AE5">
      <w:pPr>
        <w:bidi w:val="0"/>
        <w:rPr>
          <w:rFonts w:cs="Times New Roman"/>
          <w:b/>
          <w:bCs/>
        </w:rPr>
      </w:pPr>
      <w:r w:rsidRPr="00B343CC">
        <w:br w:type="page"/>
      </w:r>
    </w:p>
    <w:p w14:paraId="479DF4F9" w14:textId="77777777" w:rsidR="007C5E05" w:rsidRPr="00B343CC" w:rsidRDefault="007C5E05" w:rsidP="00323AE5">
      <w:pPr>
        <w:pStyle w:val="Title"/>
        <w:rPr>
          <w:sz w:val="26"/>
          <w:szCs w:val="26"/>
        </w:rPr>
      </w:pPr>
      <w:r w:rsidRPr="00B343CC">
        <w:rPr>
          <w:sz w:val="26"/>
          <w:szCs w:val="26"/>
        </w:rPr>
        <w:lastRenderedPageBreak/>
        <w:t>Team Work</w:t>
      </w:r>
    </w:p>
    <w:p w14:paraId="11CBD471" w14:textId="77777777" w:rsidR="007C5E05" w:rsidRPr="00B343CC" w:rsidRDefault="007C5E05" w:rsidP="00323AE5">
      <w:pPr>
        <w:rPr>
          <w:rFonts w:cs="Times New Roman"/>
        </w:rPr>
      </w:pPr>
    </w:p>
    <w:tbl>
      <w:tblPr>
        <w:tblpPr w:leftFromText="181" w:rightFromText="181" w:vertAnchor="text" w:horzAnchor="page" w:tblpXSpec="center" w:tblpY="1"/>
        <w:tblOverlap w:val="never"/>
        <w:bidiVisual/>
        <w:tblW w:w="7768" w:type="dxa"/>
        <w:tblLayout w:type="fixed"/>
        <w:tblLook w:val="0000" w:firstRow="0" w:lastRow="0" w:firstColumn="0" w:lastColumn="0" w:noHBand="0" w:noVBand="0"/>
      </w:tblPr>
      <w:tblGrid>
        <w:gridCol w:w="2693"/>
        <w:gridCol w:w="2388"/>
        <w:gridCol w:w="2410"/>
        <w:gridCol w:w="277"/>
      </w:tblGrid>
      <w:tr w:rsidR="00B05766" w:rsidRPr="00B343CC" w14:paraId="56BD4B27" w14:textId="77777777" w:rsidTr="0066227C">
        <w:tc>
          <w:tcPr>
            <w:tcW w:w="2693" w:type="dxa"/>
            <w:vAlign w:val="center"/>
          </w:tcPr>
          <w:p w14:paraId="53A1C0AD" w14:textId="77777777" w:rsidR="007C5E05" w:rsidRPr="00B343CC" w:rsidRDefault="007C5E05" w:rsidP="00323AE5">
            <w:pPr>
              <w:jc w:val="right"/>
              <w:rPr>
                <w:rFonts w:cs="Times New Roman"/>
              </w:rPr>
            </w:pPr>
          </w:p>
        </w:tc>
        <w:tc>
          <w:tcPr>
            <w:tcW w:w="2388" w:type="dxa"/>
            <w:vAlign w:val="center"/>
          </w:tcPr>
          <w:p w14:paraId="7F698D94" w14:textId="77777777" w:rsidR="007C5E05" w:rsidRPr="00B343CC" w:rsidRDefault="007C5E05" w:rsidP="00323AE5">
            <w:pPr>
              <w:jc w:val="right"/>
              <w:rPr>
                <w:rFonts w:cs="Times New Roman"/>
              </w:rPr>
            </w:pPr>
          </w:p>
        </w:tc>
        <w:tc>
          <w:tcPr>
            <w:tcW w:w="2687" w:type="dxa"/>
            <w:gridSpan w:val="2"/>
            <w:vAlign w:val="center"/>
          </w:tcPr>
          <w:p w14:paraId="0F6953B7" w14:textId="77777777" w:rsidR="007C5E05" w:rsidRPr="00B343CC" w:rsidRDefault="007C5E05" w:rsidP="00323AE5">
            <w:pPr>
              <w:numPr>
                <w:ilvl w:val="0"/>
                <w:numId w:val="1"/>
              </w:numPr>
              <w:tabs>
                <w:tab w:val="clear" w:pos="720"/>
                <w:tab w:val="num" w:pos="261"/>
              </w:tabs>
              <w:bidi w:val="0"/>
              <w:ind w:left="403" w:right="0"/>
              <w:rPr>
                <w:rFonts w:cs="Times New Roman"/>
                <w:b/>
                <w:bCs/>
              </w:rPr>
            </w:pPr>
            <w:r w:rsidRPr="00B343CC">
              <w:rPr>
                <w:rFonts w:cs="Times New Roman"/>
                <w:b/>
                <w:bCs/>
              </w:rPr>
              <w:t>Technical Department</w:t>
            </w:r>
          </w:p>
        </w:tc>
      </w:tr>
      <w:tr w:rsidR="00B05766" w:rsidRPr="00B343CC" w14:paraId="5CB6EC61" w14:textId="77777777" w:rsidTr="0066227C">
        <w:tc>
          <w:tcPr>
            <w:tcW w:w="5081" w:type="dxa"/>
            <w:gridSpan w:val="2"/>
            <w:vAlign w:val="center"/>
          </w:tcPr>
          <w:p w14:paraId="36F8EF6F" w14:textId="77777777" w:rsidR="007C5E05" w:rsidRPr="00B343CC" w:rsidRDefault="007C5E05" w:rsidP="00323AE5">
            <w:pPr>
              <w:jc w:val="right"/>
              <w:rPr>
                <w:rFonts w:cs="Times New Roman"/>
              </w:rPr>
            </w:pPr>
            <w:r w:rsidRPr="00B343CC">
              <w:rPr>
                <w:rFonts w:cs="Times New Roman"/>
              </w:rPr>
              <w:t xml:space="preserve">Department Director </w:t>
            </w:r>
          </w:p>
        </w:tc>
        <w:tc>
          <w:tcPr>
            <w:tcW w:w="2410" w:type="dxa"/>
            <w:vAlign w:val="center"/>
          </w:tcPr>
          <w:p w14:paraId="07064E1E" w14:textId="77777777" w:rsidR="007C5E05" w:rsidRPr="00B343CC" w:rsidRDefault="007C5E05" w:rsidP="00323AE5">
            <w:pPr>
              <w:jc w:val="right"/>
              <w:rPr>
                <w:rFonts w:cs="Times New Roman"/>
              </w:rPr>
            </w:pPr>
            <w:r w:rsidRPr="00B343CC">
              <w:rPr>
                <w:rFonts w:cs="Times New Roman"/>
              </w:rPr>
              <w:t>Maen Salhab</w:t>
            </w:r>
          </w:p>
        </w:tc>
        <w:tc>
          <w:tcPr>
            <w:tcW w:w="277" w:type="dxa"/>
            <w:vAlign w:val="center"/>
          </w:tcPr>
          <w:p w14:paraId="17EF91BE" w14:textId="77777777" w:rsidR="007C5E05" w:rsidRPr="00B343CC" w:rsidRDefault="007C5E05" w:rsidP="00323AE5">
            <w:pPr>
              <w:jc w:val="right"/>
              <w:rPr>
                <w:rFonts w:cs="Times New Roman"/>
                <w:rtl/>
                <w:lang w:val="en-AU"/>
              </w:rPr>
            </w:pPr>
          </w:p>
        </w:tc>
      </w:tr>
      <w:tr w:rsidR="00B05766" w:rsidRPr="00B343CC" w14:paraId="63E63DC3" w14:textId="77777777" w:rsidTr="0066227C">
        <w:tc>
          <w:tcPr>
            <w:tcW w:w="2693" w:type="dxa"/>
            <w:vAlign w:val="center"/>
          </w:tcPr>
          <w:p w14:paraId="70973494" w14:textId="77777777" w:rsidR="005E52EC" w:rsidRPr="00B343CC" w:rsidRDefault="005E52EC" w:rsidP="005E52EC">
            <w:pPr>
              <w:jc w:val="right"/>
              <w:rPr>
                <w:rFonts w:cs="Times New Roman"/>
              </w:rPr>
            </w:pPr>
          </w:p>
        </w:tc>
        <w:tc>
          <w:tcPr>
            <w:tcW w:w="2388" w:type="dxa"/>
            <w:vAlign w:val="center"/>
          </w:tcPr>
          <w:p w14:paraId="73C90ED1" w14:textId="77777777" w:rsidR="005E52EC" w:rsidRPr="00B343CC" w:rsidRDefault="005E52EC" w:rsidP="005E52EC">
            <w:pPr>
              <w:jc w:val="right"/>
              <w:rPr>
                <w:rFonts w:cs="Times New Roman"/>
                <w:rtl/>
                <w:lang w:val="en-AU"/>
              </w:rPr>
            </w:pPr>
          </w:p>
        </w:tc>
        <w:tc>
          <w:tcPr>
            <w:tcW w:w="2410" w:type="dxa"/>
            <w:vAlign w:val="center"/>
          </w:tcPr>
          <w:p w14:paraId="034A6E47" w14:textId="77777777" w:rsidR="005E52EC" w:rsidRPr="00B343CC" w:rsidRDefault="005E52EC" w:rsidP="005E52EC">
            <w:pPr>
              <w:jc w:val="right"/>
              <w:rPr>
                <w:rFonts w:cs="Times New Roman"/>
              </w:rPr>
            </w:pPr>
            <w:r w:rsidRPr="00B343CC">
              <w:rPr>
                <w:rFonts w:cs="Times New Roman"/>
              </w:rPr>
              <w:t>Rami Sarawan</w:t>
            </w:r>
          </w:p>
          <w:p w14:paraId="59754121" w14:textId="77777777" w:rsidR="005E52EC" w:rsidRPr="00B343CC" w:rsidRDefault="005E52EC" w:rsidP="005E52EC">
            <w:pPr>
              <w:jc w:val="right"/>
              <w:rPr>
                <w:rFonts w:cs="Times New Roman"/>
                <w:rtl/>
                <w:lang w:val="en-AU"/>
              </w:rPr>
            </w:pPr>
            <w:r w:rsidRPr="00B343CC">
              <w:rPr>
                <w:rFonts w:cs="Times New Roman"/>
              </w:rPr>
              <w:t>Ghadeer Al-Haj Ali</w:t>
            </w:r>
            <w:r w:rsidRPr="00B343CC">
              <w:rPr>
                <w:rFonts w:cs="Times New Roman"/>
                <w:rtl/>
              </w:rPr>
              <w:t xml:space="preserve">  </w:t>
            </w:r>
          </w:p>
        </w:tc>
        <w:tc>
          <w:tcPr>
            <w:tcW w:w="277" w:type="dxa"/>
            <w:vAlign w:val="center"/>
          </w:tcPr>
          <w:p w14:paraId="025076B2" w14:textId="77777777" w:rsidR="005E52EC" w:rsidRPr="00B343CC" w:rsidRDefault="005E52EC" w:rsidP="005E52EC">
            <w:pPr>
              <w:jc w:val="right"/>
              <w:rPr>
                <w:rFonts w:cs="Times New Roman"/>
                <w:rtl/>
                <w:lang w:val="en-AU"/>
              </w:rPr>
            </w:pPr>
          </w:p>
        </w:tc>
      </w:tr>
      <w:tr w:rsidR="00B05766" w:rsidRPr="00B343CC" w14:paraId="261A4DAE" w14:textId="77777777" w:rsidTr="0066227C">
        <w:tc>
          <w:tcPr>
            <w:tcW w:w="2693" w:type="dxa"/>
            <w:vAlign w:val="center"/>
          </w:tcPr>
          <w:p w14:paraId="12DC5D67" w14:textId="77777777" w:rsidR="005E52EC" w:rsidRPr="00B343CC" w:rsidRDefault="005E52EC" w:rsidP="005E52EC">
            <w:pPr>
              <w:jc w:val="right"/>
              <w:rPr>
                <w:rFonts w:cs="Times New Roman"/>
              </w:rPr>
            </w:pPr>
          </w:p>
        </w:tc>
        <w:tc>
          <w:tcPr>
            <w:tcW w:w="2388" w:type="dxa"/>
            <w:vAlign w:val="center"/>
          </w:tcPr>
          <w:p w14:paraId="2AF7F0B1" w14:textId="77777777" w:rsidR="005E52EC" w:rsidRPr="00B343CC" w:rsidRDefault="005E52EC" w:rsidP="005E52EC">
            <w:pPr>
              <w:jc w:val="right"/>
              <w:rPr>
                <w:rFonts w:cs="Times New Roman"/>
              </w:rPr>
            </w:pPr>
          </w:p>
        </w:tc>
        <w:tc>
          <w:tcPr>
            <w:tcW w:w="2687" w:type="dxa"/>
            <w:gridSpan w:val="2"/>
            <w:vAlign w:val="center"/>
          </w:tcPr>
          <w:p w14:paraId="04D97997" w14:textId="77777777" w:rsidR="005E52EC" w:rsidRPr="00B343CC" w:rsidRDefault="005E52EC" w:rsidP="005E52EC">
            <w:pPr>
              <w:bidi w:val="0"/>
              <w:ind w:left="403" w:right="720"/>
              <w:rPr>
                <w:rFonts w:cs="Times New Roman"/>
                <w:b/>
                <w:bCs/>
              </w:rPr>
            </w:pPr>
          </w:p>
        </w:tc>
      </w:tr>
      <w:tr w:rsidR="00B05766" w:rsidRPr="00B343CC" w14:paraId="1CDC2B7F" w14:textId="77777777" w:rsidTr="0066227C">
        <w:tc>
          <w:tcPr>
            <w:tcW w:w="2693" w:type="dxa"/>
            <w:vAlign w:val="center"/>
          </w:tcPr>
          <w:p w14:paraId="5A22CC0C" w14:textId="77777777" w:rsidR="005E52EC" w:rsidRPr="00B343CC" w:rsidRDefault="005E52EC" w:rsidP="005E52EC">
            <w:pPr>
              <w:jc w:val="right"/>
              <w:rPr>
                <w:rFonts w:cs="Times New Roman"/>
              </w:rPr>
            </w:pPr>
          </w:p>
        </w:tc>
        <w:tc>
          <w:tcPr>
            <w:tcW w:w="2388" w:type="dxa"/>
            <w:vAlign w:val="center"/>
          </w:tcPr>
          <w:p w14:paraId="03FADF46" w14:textId="77777777" w:rsidR="005E52EC" w:rsidRPr="00B343CC" w:rsidRDefault="005E52EC" w:rsidP="005E52EC">
            <w:pPr>
              <w:jc w:val="right"/>
              <w:rPr>
                <w:rFonts w:cs="Times New Roman"/>
              </w:rPr>
            </w:pPr>
          </w:p>
        </w:tc>
        <w:tc>
          <w:tcPr>
            <w:tcW w:w="2687" w:type="dxa"/>
            <w:gridSpan w:val="2"/>
            <w:vAlign w:val="center"/>
          </w:tcPr>
          <w:p w14:paraId="4A543E05" w14:textId="77777777" w:rsidR="005E52EC" w:rsidRPr="00B343CC" w:rsidRDefault="005E52EC" w:rsidP="005E52EC">
            <w:pPr>
              <w:numPr>
                <w:ilvl w:val="0"/>
                <w:numId w:val="1"/>
              </w:numPr>
              <w:tabs>
                <w:tab w:val="clear" w:pos="720"/>
                <w:tab w:val="num" w:pos="261"/>
              </w:tabs>
              <w:bidi w:val="0"/>
              <w:ind w:left="403" w:right="0"/>
              <w:rPr>
                <w:rFonts w:cs="Times New Roman"/>
                <w:b/>
                <w:bCs/>
              </w:rPr>
            </w:pPr>
            <w:r w:rsidRPr="00B343CC">
              <w:rPr>
                <w:rFonts w:cs="Times New Roman"/>
                <w:b/>
                <w:bCs/>
              </w:rPr>
              <w:t>Material Preparation</w:t>
            </w:r>
          </w:p>
        </w:tc>
      </w:tr>
      <w:tr w:rsidR="00B05766" w:rsidRPr="00B343CC" w14:paraId="17B7AE7F" w14:textId="77777777" w:rsidTr="0066227C">
        <w:trPr>
          <w:trHeight w:hRule="exact" w:val="349"/>
        </w:trPr>
        <w:tc>
          <w:tcPr>
            <w:tcW w:w="2693" w:type="dxa"/>
            <w:vAlign w:val="center"/>
          </w:tcPr>
          <w:p w14:paraId="457D6D45" w14:textId="77777777" w:rsidR="005E52EC" w:rsidRPr="00B343CC" w:rsidRDefault="005E52EC" w:rsidP="005E52EC">
            <w:pPr>
              <w:ind w:left="113"/>
              <w:jc w:val="right"/>
            </w:pPr>
            <w:r w:rsidRPr="00B343CC">
              <w:t>Manal Zaben</w:t>
            </w:r>
          </w:p>
        </w:tc>
        <w:tc>
          <w:tcPr>
            <w:tcW w:w="2388" w:type="dxa"/>
            <w:vAlign w:val="center"/>
          </w:tcPr>
          <w:p w14:paraId="77D5CA80" w14:textId="77777777" w:rsidR="005E52EC" w:rsidRPr="00B343CC" w:rsidRDefault="005E52EC" w:rsidP="005E52EC">
            <w:pPr>
              <w:ind w:left="113"/>
              <w:jc w:val="right"/>
            </w:pPr>
            <w:r w:rsidRPr="00B343CC">
              <w:t>Masa Zeidan</w:t>
            </w:r>
          </w:p>
        </w:tc>
        <w:tc>
          <w:tcPr>
            <w:tcW w:w="2410" w:type="dxa"/>
            <w:vAlign w:val="center"/>
          </w:tcPr>
          <w:p w14:paraId="5FC699EB" w14:textId="77777777" w:rsidR="005E52EC" w:rsidRPr="00B343CC" w:rsidRDefault="005E52EC" w:rsidP="005E52EC">
            <w:pPr>
              <w:ind w:left="113"/>
              <w:jc w:val="right"/>
              <w:rPr>
                <w:rtl/>
              </w:rPr>
            </w:pPr>
            <w:r w:rsidRPr="00B343CC">
              <w:t>Jawad Tohol</w:t>
            </w:r>
          </w:p>
        </w:tc>
        <w:tc>
          <w:tcPr>
            <w:tcW w:w="277" w:type="dxa"/>
            <w:vAlign w:val="center"/>
          </w:tcPr>
          <w:p w14:paraId="610BAB4E" w14:textId="77777777" w:rsidR="005E52EC" w:rsidRPr="00B343CC" w:rsidRDefault="005E52EC" w:rsidP="005E52EC">
            <w:pPr>
              <w:jc w:val="right"/>
              <w:rPr>
                <w:rFonts w:cs="Times New Roman"/>
                <w:rtl/>
                <w:lang w:val="en-AU"/>
              </w:rPr>
            </w:pPr>
          </w:p>
        </w:tc>
      </w:tr>
      <w:tr w:rsidR="00B05766" w:rsidRPr="00B343CC" w14:paraId="30932E06" w14:textId="77777777" w:rsidTr="0066227C">
        <w:trPr>
          <w:trHeight w:hRule="exact" w:val="284"/>
        </w:trPr>
        <w:tc>
          <w:tcPr>
            <w:tcW w:w="2693" w:type="dxa"/>
            <w:vAlign w:val="center"/>
          </w:tcPr>
          <w:p w14:paraId="7CAE0BD5" w14:textId="77777777" w:rsidR="005E52EC" w:rsidRPr="00B343CC" w:rsidRDefault="005E52EC" w:rsidP="005E52EC">
            <w:pPr>
              <w:ind w:left="113"/>
              <w:jc w:val="right"/>
            </w:pPr>
            <w:r w:rsidRPr="00B343CC">
              <w:t>Adel Qrareya</w:t>
            </w:r>
          </w:p>
        </w:tc>
        <w:tc>
          <w:tcPr>
            <w:tcW w:w="2388" w:type="dxa"/>
            <w:vAlign w:val="center"/>
          </w:tcPr>
          <w:p w14:paraId="3C08F872" w14:textId="77777777" w:rsidR="005E52EC" w:rsidRPr="00B343CC" w:rsidRDefault="005E52EC" w:rsidP="005E52EC">
            <w:pPr>
              <w:ind w:left="113"/>
              <w:jc w:val="right"/>
            </w:pPr>
            <w:r w:rsidRPr="00B343CC">
              <w:t>Abeer Sheikhhasan</w:t>
            </w:r>
          </w:p>
        </w:tc>
        <w:tc>
          <w:tcPr>
            <w:tcW w:w="2410" w:type="dxa"/>
            <w:vAlign w:val="center"/>
          </w:tcPr>
          <w:p w14:paraId="3F2FEFE0" w14:textId="77777777" w:rsidR="005E52EC" w:rsidRPr="00B343CC" w:rsidRDefault="005E52EC" w:rsidP="005E52EC">
            <w:pPr>
              <w:ind w:left="113"/>
              <w:jc w:val="right"/>
              <w:rPr>
                <w:rtl/>
              </w:rPr>
            </w:pPr>
            <w:r w:rsidRPr="00B343CC">
              <w:t>Reem Al Ahmad</w:t>
            </w:r>
          </w:p>
        </w:tc>
        <w:tc>
          <w:tcPr>
            <w:tcW w:w="277" w:type="dxa"/>
            <w:vAlign w:val="center"/>
          </w:tcPr>
          <w:p w14:paraId="2D1242A3" w14:textId="77777777" w:rsidR="005E52EC" w:rsidRPr="00B343CC" w:rsidRDefault="005E52EC" w:rsidP="005E52EC">
            <w:pPr>
              <w:jc w:val="right"/>
              <w:rPr>
                <w:rFonts w:cs="Times New Roman"/>
                <w:rtl/>
                <w:lang w:val="en-AU"/>
              </w:rPr>
            </w:pPr>
          </w:p>
        </w:tc>
      </w:tr>
      <w:tr w:rsidR="00106156" w:rsidRPr="00B343CC" w14:paraId="698314BA" w14:textId="77777777" w:rsidTr="0066227C">
        <w:trPr>
          <w:trHeight w:hRule="exact" w:val="284"/>
        </w:trPr>
        <w:tc>
          <w:tcPr>
            <w:tcW w:w="2693" w:type="dxa"/>
            <w:vAlign w:val="center"/>
          </w:tcPr>
          <w:p w14:paraId="1959689C" w14:textId="5A81C4B5" w:rsidR="00106156" w:rsidRPr="00B343CC" w:rsidRDefault="00106156" w:rsidP="00106156">
            <w:pPr>
              <w:ind w:left="113"/>
              <w:jc w:val="right"/>
              <w:rPr>
                <w:rtl/>
              </w:rPr>
            </w:pPr>
            <w:r w:rsidRPr="00B343CC">
              <w:t>Asala Khalid</w:t>
            </w:r>
          </w:p>
        </w:tc>
        <w:tc>
          <w:tcPr>
            <w:tcW w:w="2388" w:type="dxa"/>
            <w:vAlign w:val="center"/>
          </w:tcPr>
          <w:p w14:paraId="160EE6A4" w14:textId="77777777" w:rsidR="00106156" w:rsidRPr="00B343CC" w:rsidRDefault="00106156" w:rsidP="00106156">
            <w:pPr>
              <w:ind w:left="113"/>
              <w:jc w:val="right"/>
            </w:pPr>
            <w:r w:rsidRPr="00B343CC">
              <w:t>Ayat Saleh</w:t>
            </w:r>
          </w:p>
        </w:tc>
        <w:tc>
          <w:tcPr>
            <w:tcW w:w="2410" w:type="dxa"/>
            <w:vAlign w:val="center"/>
          </w:tcPr>
          <w:p w14:paraId="54B2DD5F" w14:textId="77777777" w:rsidR="00106156" w:rsidRPr="00B343CC" w:rsidRDefault="00106156" w:rsidP="00106156">
            <w:pPr>
              <w:ind w:left="113"/>
              <w:jc w:val="right"/>
            </w:pPr>
            <w:r w:rsidRPr="00B343CC">
              <w:t>Nehaya Odeh</w:t>
            </w:r>
          </w:p>
        </w:tc>
        <w:tc>
          <w:tcPr>
            <w:tcW w:w="277" w:type="dxa"/>
            <w:vAlign w:val="center"/>
          </w:tcPr>
          <w:p w14:paraId="6CE35D66" w14:textId="77777777" w:rsidR="00106156" w:rsidRPr="00B343CC" w:rsidRDefault="00106156" w:rsidP="00106156">
            <w:pPr>
              <w:jc w:val="right"/>
              <w:rPr>
                <w:rFonts w:cs="Times New Roman"/>
                <w:rtl/>
                <w:lang w:val="en-AU"/>
              </w:rPr>
            </w:pPr>
          </w:p>
        </w:tc>
      </w:tr>
      <w:tr w:rsidR="00106156" w:rsidRPr="00B343CC" w14:paraId="6A6C35DC" w14:textId="77777777" w:rsidTr="0066227C">
        <w:trPr>
          <w:trHeight w:hRule="exact" w:val="284"/>
        </w:trPr>
        <w:tc>
          <w:tcPr>
            <w:tcW w:w="2693" w:type="dxa"/>
            <w:vAlign w:val="center"/>
          </w:tcPr>
          <w:p w14:paraId="64BF1B61" w14:textId="3F6435FC" w:rsidR="00106156" w:rsidRPr="00B343CC" w:rsidRDefault="00106156" w:rsidP="00106156">
            <w:pPr>
              <w:ind w:left="113"/>
              <w:jc w:val="right"/>
            </w:pPr>
            <w:r w:rsidRPr="00B343CC">
              <w:t>Doaa Barghouthi</w:t>
            </w:r>
          </w:p>
        </w:tc>
        <w:tc>
          <w:tcPr>
            <w:tcW w:w="2388" w:type="dxa"/>
            <w:vAlign w:val="center"/>
          </w:tcPr>
          <w:p w14:paraId="128A4317" w14:textId="77777777" w:rsidR="00106156" w:rsidRPr="00B343CC" w:rsidRDefault="00106156" w:rsidP="00106156">
            <w:pPr>
              <w:ind w:left="113"/>
              <w:jc w:val="right"/>
              <w:rPr>
                <w:rtl/>
              </w:rPr>
            </w:pPr>
            <w:r w:rsidRPr="00B343CC">
              <w:t>Hana Bukhari</w:t>
            </w:r>
          </w:p>
        </w:tc>
        <w:tc>
          <w:tcPr>
            <w:tcW w:w="2410" w:type="dxa"/>
            <w:vAlign w:val="center"/>
          </w:tcPr>
          <w:p w14:paraId="5D3C7D94" w14:textId="77777777" w:rsidR="00106156" w:rsidRPr="00B343CC" w:rsidRDefault="00106156" w:rsidP="00106156">
            <w:pPr>
              <w:ind w:left="113"/>
              <w:jc w:val="right"/>
            </w:pPr>
            <w:r w:rsidRPr="00B343CC">
              <w:t>Faten Abu Qara</w:t>
            </w:r>
          </w:p>
          <w:p w14:paraId="74AA87C1" w14:textId="77777777" w:rsidR="00106156" w:rsidRPr="00B343CC" w:rsidRDefault="00106156" w:rsidP="00106156">
            <w:pPr>
              <w:ind w:left="113"/>
              <w:jc w:val="right"/>
            </w:pPr>
          </w:p>
        </w:tc>
        <w:tc>
          <w:tcPr>
            <w:tcW w:w="277" w:type="dxa"/>
            <w:vAlign w:val="center"/>
          </w:tcPr>
          <w:p w14:paraId="4D26F405" w14:textId="77777777" w:rsidR="00106156" w:rsidRPr="00B343CC" w:rsidRDefault="00106156" w:rsidP="00106156">
            <w:pPr>
              <w:jc w:val="right"/>
              <w:rPr>
                <w:rFonts w:cs="Times New Roman"/>
                <w:rtl/>
                <w:lang w:val="en-AU"/>
              </w:rPr>
            </w:pPr>
          </w:p>
        </w:tc>
      </w:tr>
      <w:tr w:rsidR="00106156" w:rsidRPr="00B343CC" w14:paraId="6A577D96" w14:textId="77777777" w:rsidTr="0066227C">
        <w:trPr>
          <w:trHeight w:hRule="exact" w:val="284"/>
        </w:trPr>
        <w:tc>
          <w:tcPr>
            <w:tcW w:w="2693" w:type="dxa"/>
            <w:vAlign w:val="center"/>
          </w:tcPr>
          <w:p w14:paraId="545B3527" w14:textId="0277E369" w:rsidR="00106156" w:rsidRPr="00B343CC" w:rsidRDefault="00106156" w:rsidP="00106156">
            <w:pPr>
              <w:ind w:left="113"/>
              <w:jc w:val="right"/>
              <w:rPr>
                <w:rtl/>
              </w:rPr>
            </w:pPr>
            <w:r w:rsidRPr="00B343CC">
              <w:t xml:space="preserve">Fadi Amarneh </w:t>
            </w:r>
          </w:p>
        </w:tc>
        <w:tc>
          <w:tcPr>
            <w:tcW w:w="2388" w:type="dxa"/>
            <w:vAlign w:val="center"/>
          </w:tcPr>
          <w:p w14:paraId="4A12F927" w14:textId="77777777" w:rsidR="00106156" w:rsidRPr="00B343CC" w:rsidRDefault="00106156" w:rsidP="00106156">
            <w:pPr>
              <w:ind w:left="113"/>
              <w:jc w:val="right"/>
            </w:pPr>
            <w:r w:rsidRPr="00B343CC">
              <w:t>Hatem Qrareya</w:t>
            </w:r>
          </w:p>
          <w:p w14:paraId="54ED1ACB" w14:textId="77777777" w:rsidR="00106156" w:rsidRPr="00B343CC" w:rsidRDefault="00106156" w:rsidP="00106156">
            <w:pPr>
              <w:ind w:left="113"/>
              <w:jc w:val="right"/>
              <w:rPr>
                <w:rtl/>
              </w:rPr>
            </w:pPr>
          </w:p>
        </w:tc>
        <w:tc>
          <w:tcPr>
            <w:tcW w:w="2410" w:type="dxa"/>
            <w:vAlign w:val="center"/>
          </w:tcPr>
          <w:p w14:paraId="2729BE7B" w14:textId="77777777" w:rsidR="00106156" w:rsidRPr="00B343CC" w:rsidRDefault="00106156" w:rsidP="00106156">
            <w:pPr>
              <w:ind w:left="113"/>
              <w:jc w:val="right"/>
            </w:pPr>
            <w:r w:rsidRPr="00B343CC">
              <w:t>Aisar Tumeh &lt;atumeh@pcbs.gov.ps</w:t>
            </w:r>
            <w:r w:rsidRPr="00B343CC">
              <w:rPr>
                <w:rtl/>
              </w:rPr>
              <w:t>&gt;</w:t>
            </w:r>
          </w:p>
        </w:tc>
        <w:tc>
          <w:tcPr>
            <w:tcW w:w="277" w:type="dxa"/>
            <w:vAlign w:val="center"/>
          </w:tcPr>
          <w:p w14:paraId="077D3B45" w14:textId="77777777" w:rsidR="00106156" w:rsidRPr="00B343CC" w:rsidRDefault="00106156" w:rsidP="00106156">
            <w:pPr>
              <w:jc w:val="right"/>
              <w:rPr>
                <w:rFonts w:cs="Times New Roman"/>
                <w:rtl/>
                <w:lang w:val="en-AU"/>
              </w:rPr>
            </w:pPr>
          </w:p>
        </w:tc>
      </w:tr>
      <w:tr w:rsidR="00106156" w:rsidRPr="00B343CC" w14:paraId="3AA5ABA3" w14:textId="77777777" w:rsidTr="0066227C">
        <w:trPr>
          <w:trHeight w:hRule="exact" w:val="284"/>
        </w:trPr>
        <w:tc>
          <w:tcPr>
            <w:tcW w:w="2693" w:type="dxa"/>
            <w:vAlign w:val="center"/>
          </w:tcPr>
          <w:p w14:paraId="3979D42F" w14:textId="4C5BE4F9" w:rsidR="00106156" w:rsidRPr="00B343CC" w:rsidRDefault="00106156" w:rsidP="00106156">
            <w:pPr>
              <w:ind w:left="113"/>
              <w:jc w:val="right"/>
            </w:pPr>
            <w:r w:rsidRPr="00B343CC">
              <w:t>Waed Bani Odeh</w:t>
            </w:r>
          </w:p>
        </w:tc>
        <w:tc>
          <w:tcPr>
            <w:tcW w:w="2388" w:type="dxa"/>
            <w:vAlign w:val="center"/>
          </w:tcPr>
          <w:p w14:paraId="11CDF01C" w14:textId="77777777" w:rsidR="00106156" w:rsidRPr="00B343CC" w:rsidRDefault="00106156" w:rsidP="00106156">
            <w:pPr>
              <w:jc w:val="right"/>
              <w:rPr>
                <w:rtl/>
              </w:rPr>
            </w:pPr>
            <w:r w:rsidRPr="00B343CC">
              <w:t>Rawan Abufarha</w:t>
            </w:r>
          </w:p>
        </w:tc>
        <w:tc>
          <w:tcPr>
            <w:tcW w:w="2410" w:type="dxa"/>
            <w:vAlign w:val="center"/>
          </w:tcPr>
          <w:p w14:paraId="24811E44" w14:textId="77777777" w:rsidR="00106156" w:rsidRPr="00B343CC" w:rsidRDefault="00106156" w:rsidP="00106156">
            <w:pPr>
              <w:ind w:left="113"/>
              <w:jc w:val="right"/>
            </w:pPr>
            <w:r w:rsidRPr="00B343CC">
              <w:t>Abdullah Azzam</w:t>
            </w:r>
          </w:p>
        </w:tc>
        <w:tc>
          <w:tcPr>
            <w:tcW w:w="277" w:type="dxa"/>
            <w:vAlign w:val="center"/>
          </w:tcPr>
          <w:p w14:paraId="0872E41C" w14:textId="77777777" w:rsidR="00106156" w:rsidRPr="00B343CC" w:rsidRDefault="00106156" w:rsidP="00106156">
            <w:pPr>
              <w:jc w:val="right"/>
              <w:rPr>
                <w:rFonts w:cs="Times New Roman"/>
                <w:rtl/>
                <w:lang w:val="en-AU"/>
              </w:rPr>
            </w:pPr>
          </w:p>
        </w:tc>
      </w:tr>
      <w:tr w:rsidR="00106156" w:rsidRPr="00B343CC" w14:paraId="50FD6822" w14:textId="77777777" w:rsidTr="0066227C">
        <w:trPr>
          <w:trHeight w:hRule="exact" w:val="265"/>
        </w:trPr>
        <w:tc>
          <w:tcPr>
            <w:tcW w:w="2693" w:type="dxa"/>
            <w:vAlign w:val="center"/>
          </w:tcPr>
          <w:p w14:paraId="00B65F2A" w14:textId="7C6BF647" w:rsidR="00106156" w:rsidRPr="00B343CC" w:rsidRDefault="00106156" w:rsidP="00106156">
            <w:pPr>
              <w:ind w:left="113"/>
              <w:jc w:val="right"/>
            </w:pPr>
            <w:r w:rsidRPr="00B343CC">
              <w:t>Sajida Sroor</w:t>
            </w:r>
          </w:p>
        </w:tc>
        <w:tc>
          <w:tcPr>
            <w:tcW w:w="2388" w:type="dxa"/>
            <w:vAlign w:val="center"/>
          </w:tcPr>
          <w:p w14:paraId="6F6D84A7" w14:textId="77777777" w:rsidR="00106156" w:rsidRPr="00B343CC" w:rsidRDefault="00106156" w:rsidP="00106156">
            <w:pPr>
              <w:ind w:left="113"/>
              <w:jc w:val="right"/>
            </w:pPr>
            <w:r w:rsidRPr="00B343CC">
              <w:t>Rasha Sarrawi</w:t>
            </w:r>
          </w:p>
        </w:tc>
        <w:tc>
          <w:tcPr>
            <w:tcW w:w="2410" w:type="dxa"/>
            <w:vAlign w:val="center"/>
          </w:tcPr>
          <w:p w14:paraId="5786F5ED" w14:textId="77777777" w:rsidR="00106156" w:rsidRPr="00B343CC" w:rsidRDefault="00106156" w:rsidP="00106156">
            <w:pPr>
              <w:ind w:left="113"/>
              <w:jc w:val="right"/>
            </w:pPr>
            <w:r w:rsidRPr="00B343CC">
              <w:t>Mohammad Shaheen</w:t>
            </w:r>
          </w:p>
        </w:tc>
        <w:tc>
          <w:tcPr>
            <w:tcW w:w="277" w:type="dxa"/>
            <w:vAlign w:val="center"/>
          </w:tcPr>
          <w:p w14:paraId="6F9562D5" w14:textId="77777777" w:rsidR="00106156" w:rsidRPr="00B343CC" w:rsidRDefault="00106156" w:rsidP="00106156">
            <w:pPr>
              <w:jc w:val="right"/>
              <w:rPr>
                <w:rFonts w:cs="Times New Roman"/>
                <w:rtl/>
                <w:lang w:val="en-AU"/>
              </w:rPr>
            </w:pPr>
          </w:p>
        </w:tc>
      </w:tr>
      <w:tr w:rsidR="00106156" w:rsidRPr="00B343CC" w14:paraId="0EB50475" w14:textId="77777777" w:rsidTr="0066227C">
        <w:trPr>
          <w:trHeight w:hRule="exact" w:val="284"/>
        </w:trPr>
        <w:tc>
          <w:tcPr>
            <w:tcW w:w="2693" w:type="dxa"/>
            <w:vAlign w:val="center"/>
          </w:tcPr>
          <w:p w14:paraId="2490C9C7" w14:textId="54D4001F" w:rsidR="00106156" w:rsidRPr="00B343CC" w:rsidRDefault="00106156" w:rsidP="00106156">
            <w:pPr>
              <w:ind w:left="113"/>
              <w:jc w:val="right"/>
              <w:rPr>
                <w:rtl/>
              </w:rPr>
            </w:pPr>
            <w:r w:rsidRPr="00B343CC">
              <w:t>Osaid Al_Arda</w:t>
            </w:r>
          </w:p>
        </w:tc>
        <w:tc>
          <w:tcPr>
            <w:tcW w:w="2388" w:type="dxa"/>
            <w:vAlign w:val="center"/>
          </w:tcPr>
          <w:p w14:paraId="6199A092" w14:textId="77777777" w:rsidR="00106156" w:rsidRPr="00B343CC" w:rsidRDefault="00106156" w:rsidP="00106156">
            <w:pPr>
              <w:ind w:left="113"/>
              <w:jc w:val="right"/>
              <w:rPr>
                <w:rtl/>
              </w:rPr>
            </w:pPr>
            <w:r w:rsidRPr="00B343CC">
              <w:t>Athar Deek</w:t>
            </w:r>
          </w:p>
        </w:tc>
        <w:tc>
          <w:tcPr>
            <w:tcW w:w="2410" w:type="dxa"/>
            <w:vAlign w:val="center"/>
          </w:tcPr>
          <w:p w14:paraId="5DB1F39A" w14:textId="77777777" w:rsidR="00106156" w:rsidRPr="00B343CC" w:rsidRDefault="00106156" w:rsidP="00106156">
            <w:pPr>
              <w:ind w:left="113"/>
              <w:jc w:val="right"/>
              <w:rPr>
                <w:rtl/>
              </w:rPr>
            </w:pPr>
            <w:r w:rsidRPr="00B343CC">
              <w:t>Fidaa Obaid</w:t>
            </w:r>
          </w:p>
        </w:tc>
        <w:tc>
          <w:tcPr>
            <w:tcW w:w="277" w:type="dxa"/>
            <w:vAlign w:val="center"/>
          </w:tcPr>
          <w:p w14:paraId="0EDB50BC" w14:textId="77777777" w:rsidR="00106156" w:rsidRPr="00B343CC" w:rsidRDefault="00106156" w:rsidP="00106156">
            <w:pPr>
              <w:jc w:val="right"/>
              <w:rPr>
                <w:rFonts w:cs="Times New Roman"/>
                <w:rtl/>
                <w:lang w:val="en-AU"/>
              </w:rPr>
            </w:pPr>
          </w:p>
        </w:tc>
      </w:tr>
      <w:tr w:rsidR="00106156" w:rsidRPr="00B343CC" w14:paraId="27C77990" w14:textId="77777777" w:rsidTr="0066227C">
        <w:trPr>
          <w:trHeight w:hRule="exact" w:val="284"/>
        </w:trPr>
        <w:tc>
          <w:tcPr>
            <w:tcW w:w="2693" w:type="dxa"/>
            <w:vAlign w:val="center"/>
          </w:tcPr>
          <w:p w14:paraId="5178ACE8" w14:textId="641588B1" w:rsidR="00106156" w:rsidRPr="00B343CC" w:rsidRDefault="00106156" w:rsidP="00106156">
            <w:pPr>
              <w:ind w:left="113"/>
              <w:jc w:val="right"/>
            </w:pPr>
            <w:r w:rsidRPr="00B343CC">
              <w:t>Ahmad Mardawi</w:t>
            </w:r>
          </w:p>
        </w:tc>
        <w:tc>
          <w:tcPr>
            <w:tcW w:w="2388" w:type="dxa"/>
            <w:vAlign w:val="center"/>
          </w:tcPr>
          <w:p w14:paraId="1D8E2729" w14:textId="77777777" w:rsidR="00106156" w:rsidRPr="00B343CC" w:rsidRDefault="00106156" w:rsidP="00106156">
            <w:pPr>
              <w:ind w:left="113"/>
              <w:jc w:val="right"/>
            </w:pPr>
            <w:r w:rsidRPr="00B343CC">
              <w:t>Maryam Al- Khatib</w:t>
            </w:r>
          </w:p>
        </w:tc>
        <w:tc>
          <w:tcPr>
            <w:tcW w:w="2410" w:type="dxa"/>
            <w:vAlign w:val="center"/>
          </w:tcPr>
          <w:p w14:paraId="7181126E" w14:textId="77777777" w:rsidR="00106156" w:rsidRPr="00B343CC" w:rsidRDefault="00106156" w:rsidP="00106156">
            <w:pPr>
              <w:ind w:left="113"/>
              <w:jc w:val="right"/>
              <w:rPr>
                <w:rtl/>
              </w:rPr>
            </w:pPr>
            <w:r w:rsidRPr="00B343CC">
              <w:t>Inas Alrifai</w:t>
            </w:r>
          </w:p>
        </w:tc>
        <w:tc>
          <w:tcPr>
            <w:tcW w:w="277" w:type="dxa"/>
            <w:vAlign w:val="center"/>
          </w:tcPr>
          <w:p w14:paraId="7FACEB2F" w14:textId="77777777" w:rsidR="00106156" w:rsidRPr="00B343CC" w:rsidRDefault="00106156" w:rsidP="00106156">
            <w:pPr>
              <w:jc w:val="right"/>
              <w:rPr>
                <w:rFonts w:cs="Times New Roman"/>
                <w:rtl/>
                <w:lang w:val="en-AU"/>
              </w:rPr>
            </w:pPr>
          </w:p>
        </w:tc>
      </w:tr>
      <w:tr w:rsidR="00106156" w:rsidRPr="00B343CC" w14:paraId="1E65A505" w14:textId="77777777" w:rsidTr="0066227C">
        <w:trPr>
          <w:trHeight w:hRule="exact" w:val="284"/>
        </w:trPr>
        <w:tc>
          <w:tcPr>
            <w:tcW w:w="2693" w:type="dxa"/>
            <w:vAlign w:val="center"/>
          </w:tcPr>
          <w:p w14:paraId="2A8F5D29" w14:textId="437D26FE" w:rsidR="00106156" w:rsidRPr="00B343CC" w:rsidRDefault="00106156" w:rsidP="00106156">
            <w:pPr>
              <w:ind w:left="113"/>
              <w:jc w:val="right"/>
            </w:pPr>
          </w:p>
        </w:tc>
        <w:tc>
          <w:tcPr>
            <w:tcW w:w="2388" w:type="dxa"/>
            <w:vAlign w:val="center"/>
          </w:tcPr>
          <w:p w14:paraId="58F5AB2F" w14:textId="77777777" w:rsidR="00106156" w:rsidRPr="00B343CC" w:rsidRDefault="00106156" w:rsidP="00106156">
            <w:pPr>
              <w:ind w:left="113"/>
              <w:jc w:val="right"/>
              <w:rPr>
                <w:rtl/>
              </w:rPr>
            </w:pPr>
            <w:r w:rsidRPr="00B343CC">
              <w:t>Ashwaq Sadaqa</w:t>
            </w:r>
          </w:p>
        </w:tc>
        <w:tc>
          <w:tcPr>
            <w:tcW w:w="2410" w:type="dxa"/>
            <w:vAlign w:val="center"/>
          </w:tcPr>
          <w:p w14:paraId="63B51A3D" w14:textId="77777777" w:rsidR="00106156" w:rsidRPr="00B343CC" w:rsidRDefault="00106156" w:rsidP="00106156">
            <w:pPr>
              <w:ind w:left="113"/>
              <w:jc w:val="right"/>
            </w:pPr>
            <w:r w:rsidRPr="00B343CC">
              <w:t>Waheed Shahrouri</w:t>
            </w:r>
          </w:p>
        </w:tc>
        <w:tc>
          <w:tcPr>
            <w:tcW w:w="277" w:type="dxa"/>
            <w:vAlign w:val="center"/>
          </w:tcPr>
          <w:p w14:paraId="35BC9324" w14:textId="77777777" w:rsidR="00106156" w:rsidRPr="00B343CC" w:rsidRDefault="00106156" w:rsidP="00106156">
            <w:pPr>
              <w:jc w:val="right"/>
              <w:rPr>
                <w:rFonts w:cs="Times New Roman"/>
                <w:rtl/>
                <w:lang w:val="en-AU"/>
              </w:rPr>
            </w:pPr>
          </w:p>
        </w:tc>
      </w:tr>
      <w:tr w:rsidR="00106156" w:rsidRPr="00B343CC" w14:paraId="333E00C3" w14:textId="77777777" w:rsidTr="0066227C">
        <w:trPr>
          <w:trHeight w:hRule="exact" w:val="339"/>
        </w:trPr>
        <w:tc>
          <w:tcPr>
            <w:tcW w:w="2693" w:type="dxa"/>
            <w:vAlign w:val="center"/>
          </w:tcPr>
          <w:p w14:paraId="3C787B98" w14:textId="334DC90C" w:rsidR="00106156" w:rsidRPr="00B343CC" w:rsidRDefault="00106156" w:rsidP="00106156">
            <w:pPr>
              <w:ind w:left="113"/>
              <w:jc w:val="right"/>
              <w:rPr>
                <w:rtl/>
              </w:rPr>
            </w:pPr>
          </w:p>
        </w:tc>
        <w:tc>
          <w:tcPr>
            <w:tcW w:w="2388" w:type="dxa"/>
            <w:vAlign w:val="center"/>
          </w:tcPr>
          <w:p w14:paraId="752A5AB2" w14:textId="77777777" w:rsidR="00106156" w:rsidRPr="00B343CC" w:rsidRDefault="00106156" w:rsidP="00106156">
            <w:pPr>
              <w:ind w:left="113"/>
              <w:jc w:val="right"/>
              <w:rPr>
                <w:rtl/>
              </w:rPr>
            </w:pPr>
            <w:r w:rsidRPr="00B343CC">
              <w:t>Hiba Masoud</w:t>
            </w:r>
          </w:p>
        </w:tc>
        <w:tc>
          <w:tcPr>
            <w:tcW w:w="2410" w:type="dxa"/>
            <w:vAlign w:val="center"/>
          </w:tcPr>
          <w:p w14:paraId="74E64EC1" w14:textId="77777777" w:rsidR="00106156" w:rsidRPr="00B343CC" w:rsidRDefault="00106156" w:rsidP="00106156">
            <w:pPr>
              <w:ind w:left="113"/>
              <w:jc w:val="right"/>
              <w:rPr>
                <w:rtl/>
              </w:rPr>
            </w:pPr>
            <w:r w:rsidRPr="00B343CC">
              <w:t>Musaab Abu Baker</w:t>
            </w:r>
          </w:p>
        </w:tc>
        <w:tc>
          <w:tcPr>
            <w:tcW w:w="277" w:type="dxa"/>
            <w:vAlign w:val="center"/>
          </w:tcPr>
          <w:p w14:paraId="42683820" w14:textId="77777777" w:rsidR="00106156" w:rsidRPr="00B343CC" w:rsidRDefault="00106156" w:rsidP="00106156">
            <w:pPr>
              <w:bidi w:val="0"/>
              <w:rPr>
                <w:rFonts w:cs="Times New Roman"/>
                <w:rtl/>
              </w:rPr>
            </w:pPr>
          </w:p>
        </w:tc>
      </w:tr>
      <w:tr w:rsidR="00106156" w:rsidRPr="00B343CC" w14:paraId="38849D7F" w14:textId="77777777" w:rsidTr="0066227C">
        <w:tc>
          <w:tcPr>
            <w:tcW w:w="7768" w:type="dxa"/>
            <w:gridSpan w:val="4"/>
            <w:vAlign w:val="center"/>
          </w:tcPr>
          <w:p w14:paraId="6CB00A36" w14:textId="77777777" w:rsidR="00106156" w:rsidRPr="00B343CC" w:rsidRDefault="00106156" w:rsidP="00106156">
            <w:pPr>
              <w:bidi w:val="0"/>
              <w:ind w:right="720"/>
              <w:rPr>
                <w:rFonts w:cs="Times New Roman"/>
                <w:b/>
                <w:bCs/>
              </w:rPr>
            </w:pPr>
          </w:p>
        </w:tc>
      </w:tr>
      <w:tr w:rsidR="00106156" w:rsidRPr="00B343CC" w14:paraId="1CF301F6" w14:textId="77777777" w:rsidTr="0066227C">
        <w:tc>
          <w:tcPr>
            <w:tcW w:w="7768" w:type="dxa"/>
            <w:gridSpan w:val="4"/>
            <w:vAlign w:val="center"/>
          </w:tcPr>
          <w:p w14:paraId="529AEFEC" w14:textId="77777777" w:rsidR="00106156" w:rsidRPr="00B343CC" w:rsidRDefault="00106156" w:rsidP="00106156">
            <w:pPr>
              <w:numPr>
                <w:ilvl w:val="0"/>
                <w:numId w:val="1"/>
              </w:numPr>
              <w:tabs>
                <w:tab w:val="clear" w:pos="720"/>
                <w:tab w:val="num" w:pos="261"/>
              </w:tabs>
              <w:bidi w:val="0"/>
              <w:ind w:left="261" w:right="0" w:hanging="218"/>
              <w:rPr>
                <w:rFonts w:cs="Times New Roman"/>
                <w:b/>
                <w:bCs/>
              </w:rPr>
            </w:pPr>
            <w:r w:rsidRPr="00B343CC">
              <w:rPr>
                <w:rFonts w:cs="Times New Roman"/>
                <w:b/>
                <w:bCs/>
              </w:rPr>
              <w:t xml:space="preserve">Graphic Design       </w:t>
            </w:r>
            <w:r w:rsidRPr="00B343CC">
              <w:t xml:space="preserve">  </w:t>
            </w:r>
          </w:p>
        </w:tc>
      </w:tr>
      <w:tr w:rsidR="00106156" w:rsidRPr="00B343CC" w14:paraId="3881CFDE" w14:textId="77777777" w:rsidTr="0066227C">
        <w:tc>
          <w:tcPr>
            <w:tcW w:w="7768" w:type="dxa"/>
            <w:gridSpan w:val="4"/>
            <w:vAlign w:val="center"/>
          </w:tcPr>
          <w:p w14:paraId="319EE9F3" w14:textId="77777777" w:rsidR="00106156" w:rsidRPr="00B343CC" w:rsidRDefault="00106156" w:rsidP="00106156">
            <w:pPr>
              <w:tabs>
                <w:tab w:val="left" w:pos="-620"/>
              </w:tabs>
              <w:jc w:val="right"/>
              <w:rPr>
                <w:rFonts w:cs="Times New Roman"/>
                <w:rtl/>
              </w:rPr>
            </w:pPr>
            <w:r w:rsidRPr="00B343CC">
              <w:rPr>
                <w:rFonts w:cs="Times New Roman"/>
              </w:rPr>
              <w:t xml:space="preserve">     Mosab Thuminat</w:t>
            </w:r>
          </w:p>
        </w:tc>
      </w:tr>
      <w:tr w:rsidR="00106156" w:rsidRPr="00B343CC" w14:paraId="75A05646" w14:textId="77777777" w:rsidTr="0066227C">
        <w:tc>
          <w:tcPr>
            <w:tcW w:w="7768" w:type="dxa"/>
            <w:gridSpan w:val="4"/>
            <w:vAlign w:val="center"/>
          </w:tcPr>
          <w:p w14:paraId="67104127" w14:textId="77777777" w:rsidR="00106156" w:rsidRPr="00B343CC" w:rsidRDefault="00106156" w:rsidP="00106156">
            <w:pPr>
              <w:jc w:val="right"/>
              <w:rPr>
                <w:rFonts w:cs="Times New Roman"/>
              </w:rPr>
            </w:pPr>
          </w:p>
        </w:tc>
      </w:tr>
      <w:tr w:rsidR="00106156" w:rsidRPr="00B343CC" w14:paraId="50332EEA" w14:textId="77777777" w:rsidTr="0066227C">
        <w:tc>
          <w:tcPr>
            <w:tcW w:w="7768" w:type="dxa"/>
            <w:gridSpan w:val="4"/>
            <w:vAlign w:val="center"/>
          </w:tcPr>
          <w:p w14:paraId="231AA4DB" w14:textId="77777777" w:rsidR="00106156" w:rsidRPr="00B343CC" w:rsidRDefault="00106156" w:rsidP="00106156">
            <w:pPr>
              <w:numPr>
                <w:ilvl w:val="0"/>
                <w:numId w:val="1"/>
              </w:numPr>
              <w:tabs>
                <w:tab w:val="clear" w:pos="720"/>
                <w:tab w:val="num" w:pos="261"/>
                <w:tab w:val="num" w:pos="391"/>
              </w:tabs>
              <w:bidi w:val="0"/>
              <w:ind w:left="261" w:right="0" w:hanging="218"/>
              <w:rPr>
                <w:rFonts w:cs="Times New Roman"/>
                <w:b/>
                <w:bCs/>
                <w:rtl/>
              </w:rPr>
            </w:pPr>
            <w:r w:rsidRPr="00B343CC">
              <w:rPr>
                <w:rFonts w:cs="Times New Roman"/>
                <w:b/>
                <w:bCs/>
              </w:rPr>
              <w:t>Dissemination Standards</w:t>
            </w:r>
          </w:p>
        </w:tc>
      </w:tr>
      <w:tr w:rsidR="00106156" w:rsidRPr="00B343CC" w14:paraId="2A76A204" w14:textId="77777777" w:rsidTr="0066227C">
        <w:tc>
          <w:tcPr>
            <w:tcW w:w="7768" w:type="dxa"/>
            <w:gridSpan w:val="4"/>
            <w:vAlign w:val="center"/>
          </w:tcPr>
          <w:p w14:paraId="569B9A2D" w14:textId="77777777" w:rsidR="00106156" w:rsidRPr="00B343CC" w:rsidRDefault="00106156" w:rsidP="00106156">
            <w:pPr>
              <w:tabs>
                <w:tab w:val="left" w:pos="-620"/>
              </w:tabs>
              <w:jc w:val="right"/>
              <w:rPr>
                <w:rFonts w:cs="Times New Roman"/>
                <w:rtl/>
              </w:rPr>
            </w:pPr>
            <w:r w:rsidRPr="00B343CC">
              <w:rPr>
                <w:rFonts w:cs="Times New Roman"/>
              </w:rPr>
              <w:t xml:space="preserve">     Hanan Janajreh</w:t>
            </w:r>
          </w:p>
        </w:tc>
      </w:tr>
      <w:tr w:rsidR="00106156" w:rsidRPr="00B343CC" w14:paraId="363405CB" w14:textId="77777777" w:rsidTr="0066227C">
        <w:tc>
          <w:tcPr>
            <w:tcW w:w="7768" w:type="dxa"/>
            <w:gridSpan w:val="4"/>
            <w:vAlign w:val="center"/>
          </w:tcPr>
          <w:p w14:paraId="24323BFC" w14:textId="77777777" w:rsidR="00106156" w:rsidRPr="00B343CC" w:rsidRDefault="00106156" w:rsidP="00106156">
            <w:pPr>
              <w:ind w:right="391"/>
              <w:jc w:val="right"/>
              <w:rPr>
                <w:rFonts w:cs="Times New Roman"/>
              </w:rPr>
            </w:pPr>
          </w:p>
        </w:tc>
      </w:tr>
      <w:tr w:rsidR="00106156" w:rsidRPr="00B343CC" w14:paraId="167FF73B" w14:textId="77777777" w:rsidTr="0066227C">
        <w:tc>
          <w:tcPr>
            <w:tcW w:w="7768" w:type="dxa"/>
            <w:gridSpan w:val="4"/>
            <w:vAlign w:val="center"/>
          </w:tcPr>
          <w:p w14:paraId="04CF0F05" w14:textId="77777777" w:rsidR="00106156" w:rsidRPr="00B343CC" w:rsidRDefault="00106156" w:rsidP="00106156">
            <w:pPr>
              <w:numPr>
                <w:ilvl w:val="0"/>
                <w:numId w:val="1"/>
              </w:numPr>
              <w:tabs>
                <w:tab w:val="clear" w:pos="720"/>
                <w:tab w:val="right" w:pos="0"/>
                <w:tab w:val="num" w:pos="261"/>
                <w:tab w:val="right" w:pos="403"/>
              </w:tabs>
              <w:bidi w:val="0"/>
              <w:ind w:right="0" w:hanging="720"/>
              <w:rPr>
                <w:rFonts w:cs="Times New Roman"/>
                <w:b/>
                <w:bCs/>
              </w:rPr>
            </w:pPr>
            <w:r w:rsidRPr="00B343CC">
              <w:rPr>
                <w:rFonts w:cs="Times New Roman"/>
                <w:b/>
                <w:bCs/>
              </w:rPr>
              <w:t xml:space="preserve">Map Design       </w:t>
            </w:r>
          </w:p>
        </w:tc>
      </w:tr>
      <w:tr w:rsidR="00106156" w:rsidRPr="00B343CC" w14:paraId="051C4913" w14:textId="77777777" w:rsidTr="0066227C">
        <w:tc>
          <w:tcPr>
            <w:tcW w:w="7768" w:type="dxa"/>
            <w:gridSpan w:val="4"/>
            <w:vAlign w:val="center"/>
          </w:tcPr>
          <w:p w14:paraId="463C3FB1" w14:textId="0A280621" w:rsidR="00106156" w:rsidRPr="00B343CC" w:rsidRDefault="00106156" w:rsidP="00261E08">
            <w:pPr>
              <w:tabs>
                <w:tab w:val="left" w:pos="-620"/>
              </w:tabs>
              <w:jc w:val="right"/>
              <w:rPr>
                <w:rFonts w:cs="Times New Roman"/>
              </w:rPr>
            </w:pPr>
            <w:r w:rsidRPr="00B343CC">
              <w:rPr>
                <w:rFonts w:cs="Times New Roman"/>
              </w:rPr>
              <w:t xml:space="preserve">     </w:t>
            </w:r>
            <w:r w:rsidR="00261E08">
              <w:rPr>
                <w:rFonts w:cs="Times New Roman"/>
              </w:rPr>
              <w:t>Imtithal Shuaibi</w:t>
            </w:r>
          </w:p>
          <w:p w14:paraId="1064380E" w14:textId="77777777" w:rsidR="00106156" w:rsidRPr="00B343CC" w:rsidRDefault="00106156" w:rsidP="00106156">
            <w:pPr>
              <w:tabs>
                <w:tab w:val="left" w:pos="-620"/>
              </w:tabs>
              <w:bidi w:val="0"/>
              <w:rPr>
                <w:rFonts w:cs="Times New Roman"/>
              </w:rPr>
            </w:pPr>
            <w:r w:rsidRPr="00B343CC">
              <w:rPr>
                <w:rFonts w:cs="Times New Roman"/>
              </w:rPr>
              <w:t xml:space="preserve">     Mosab Abualhayja </w:t>
            </w:r>
          </w:p>
          <w:p w14:paraId="6FC720E3" w14:textId="77777777" w:rsidR="00106156" w:rsidRPr="00B343CC" w:rsidRDefault="00106156" w:rsidP="00106156">
            <w:pPr>
              <w:tabs>
                <w:tab w:val="left" w:pos="-620"/>
              </w:tabs>
              <w:bidi w:val="0"/>
              <w:rPr>
                <w:rFonts w:cs="Times New Roman"/>
                <w:b/>
                <w:bCs/>
              </w:rPr>
            </w:pPr>
            <w:r w:rsidRPr="00B343CC">
              <w:rPr>
                <w:rFonts w:cs="Times New Roman"/>
              </w:rPr>
              <w:t xml:space="preserve"> </w:t>
            </w:r>
          </w:p>
          <w:p w14:paraId="4545A052" w14:textId="77777777" w:rsidR="00106156" w:rsidRPr="00B343CC" w:rsidRDefault="00106156" w:rsidP="00106156">
            <w:pPr>
              <w:tabs>
                <w:tab w:val="left" w:pos="-620"/>
              </w:tabs>
              <w:bidi w:val="0"/>
              <w:rPr>
                <w:rFonts w:cs="Times New Roman"/>
                <w:b/>
                <w:bCs/>
              </w:rPr>
            </w:pPr>
            <w:r w:rsidRPr="00B343CC">
              <w:rPr>
                <w:rFonts w:cs="Times New Roman"/>
                <w:b/>
                <w:bCs/>
              </w:rPr>
              <w:sym w:font="Symbol" w:char="F0B7"/>
            </w:r>
            <w:r w:rsidRPr="00B343CC">
              <w:rPr>
                <w:rFonts w:cs="Times New Roman"/>
                <w:b/>
                <w:bCs/>
              </w:rPr>
              <w:t xml:space="preserve"> Translation and Editing </w:t>
            </w:r>
          </w:p>
          <w:p w14:paraId="1B244D5F" w14:textId="77777777" w:rsidR="00106156" w:rsidRPr="00B343CC" w:rsidRDefault="00106156" w:rsidP="00106156">
            <w:pPr>
              <w:tabs>
                <w:tab w:val="left" w:pos="-620"/>
              </w:tabs>
              <w:bidi w:val="0"/>
            </w:pPr>
            <w:r w:rsidRPr="00B343CC">
              <w:t xml:space="preserve">    Ikram Nashata</w:t>
            </w:r>
          </w:p>
          <w:p w14:paraId="5AB8F859" w14:textId="77777777" w:rsidR="00106156" w:rsidRPr="00B343CC" w:rsidRDefault="00106156" w:rsidP="00106156">
            <w:pPr>
              <w:tabs>
                <w:tab w:val="left" w:pos="-620"/>
              </w:tabs>
              <w:bidi w:val="0"/>
              <w:rPr>
                <w:rFonts w:cs="Times New Roman"/>
              </w:rPr>
            </w:pPr>
            <w:r w:rsidRPr="00B343CC">
              <w:t xml:space="preserve">    Aladdin Salameh</w:t>
            </w:r>
            <w:r w:rsidRPr="00B343CC">
              <w:rPr>
                <w:rFonts w:cs="Times New Roman"/>
              </w:rPr>
              <w:t xml:space="preserve">    </w:t>
            </w:r>
          </w:p>
        </w:tc>
      </w:tr>
      <w:tr w:rsidR="00106156" w:rsidRPr="00B343CC" w14:paraId="1A72AA1C" w14:textId="77777777" w:rsidTr="0066227C">
        <w:tc>
          <w:tcPr>
            <w:tcW w:w="7768" w:type="dxa"/>
            <w:gridSpan w:val="4"/>
            <w:vAlign w:val="center"/>
          </w:tcPr>
          <w:p w14:paraId="292C101B" w14:textId="77777777" w:rsidR="00106156" w:rsidRPr="00B343CC" w:rsidRDefault="00106156" w:rsidP="00106156">
            <w:pPr>
              <w:tabs>
                <w:tab w:val="left" w:pos="-620"/>
                <w:tab w:val="left" w:pos="6609"/>
                <w:tab w:val="left" w:pos="6772"/>
              </w:tabs>
              <w:jc w:val="right"/>
              <w:rPr>
                <w:rFonts w:cs="Times New Roman"/>
              </w:rPr>
            </w:pPr>
          </w:p>
        </w:tc>
      </w:tr>
      <w:tr w:rsidR="00106156" w:rsidRPr="00B343CC" w14:paraId="387F070C" w14:textId="77777777" w:rsidTr="0066227C">
        <w:tc>
          <w:tcPr>
            <w:tcW w:w="7768" w:type="dxa"/>
            <w:gridSpan w:val="4"/>
            <w:vAlign w:val="center"/>
          </w:tcPr>
          <w:p w14:paraId="3BF4C6E5" w14:textId="77777777" w:rsidR="00106156" w:rsidRPr="00B343CC" w:rsidRDefault="00106156" w:rsidP="00106156">
            <w:pPr>
              <w:numPr>
                <w:ilvl w:val="0"/>
                <w:numId w:val="1"/>
              </w:numPr>
              <w:tabs>
                <w:tab w:val="clear" w:pos="720"/>
                <w:tab w:val="num" w:pos="261"/>
              </w:tabs>
              <w:bidi w:val="0"/>
              <w:ind w:left="545" w:right="0" w:hanging="545"/>
              <w:rPr>
                <w:rFonts w:cs="Times New Roman"/>
                <w:b/>
                <w:bCs/>
              </w:rPr>
            </w:pPr>
            <w:r w:rsidRPr="00B343CC">
              <w:rPr>
                <w:rFonts w:cs="Times New Roman"/>
                <w:b/>
                <w:bCs/>
              </w:rPr>
              <w:t>Preliminary Review</w:t>
            </w:r>
          </w:p>
        </w:tc>
      </w:tr>
      <w:tr w:rsidR="00106156" w:rsidRPr="00B343CC" w14:paraId="1B4291A1" w14:textId="77777777" w:rsidTr="0066227C">
        <w:tc>
          <w:tcPr>
            <w:tcW w:w="2693" w:type="dxa"/>
            <w:vAlign w:val="center"/>
          </w:tcPr>
          <w:p w14:paraId="7C3E389D" w14:textId="77777777" w:rsidR="00106156" w:rsidRPr="00B343CC" w:rsidRDefault="00106156" w:rsidP="00106156">
            <w:pPr>
              <w:tabs>
                <w:tab w:val="left" w:pos="-620"/>
              </w:tabs>
              <w:jc w:val="right"/>
              <w:rPr>
                <w:rFonts w:cs="Times New Roman"/>
              </w:rPr>
            </w:pPr>
          </w:p>
        </w:tc>
        <w:tc>
          <w:tcPr>
            <w:tcW w:w="2388" w:type="dxa"/>
            <w:vAlign w:val="center"/>
          </w:tcPr>
          <w:p w14:paraId="7A0ED665" w14:textId="77777777" w:rsidR="00106156" w:rsidRPr="00B343CC" w:rsidRDefault="00106156" w:rsidP="00106156">
            <w:pPr>
              <w:tabs>
                <w:tab w:val="left" w:pos="-620"/>
              </w:tabs>
              <w:jc w:val="right"/>
              <w:rPr>
                <w:rFonts w:cs="Times New Roman"/>
                <w:rtl/>
              </w:rPr>
            </w:pPr>
          </w:p>
        </w:tc>
        <w:tc>
          <w:tcPr>
            <w:tcW w:w="2410" w:type="dxa"/>
            <w:vAlign w:val="center"/>
          </w:tcPr>
          <w:p w14:paraId="2643C82B" w14:textId="77777777" w:rsidR="00106156" w:rsidRPr="00B343CC" w:rsidRDefault="00106156" w:rsidP="00106156">
            <w:pPr>
              <w:tabs>
                <w:tab w:val="left" w:pos="-620"/>
              </w:tabs>
              <w:jc w:val="right"/>
              <w:rPr>
                <w:rFonts w:cs="Times New Roman"/>
              </w:rPr>
            </w:pPr>
            <w:r w:rsidRPr="00B343CC">
              <w:rPr>
                <w:rFonts w:cs="Times New Roman"/>
              </w:rPr>
              <w:t>Maen Salhab</w:t>
            </w:r>
          </w:p>
        </w:tc>
        <w:tc>
          <w:tcPr>
            <w:tcW w:w="277" w:type="dxa"/>
            <w:vAlign w:val="center"/>
          </w:tcPr>
          <w:p w14:paraId="1162ED9E" w14:textId="77777777" w:rsidR="00106156" w:rsidRPr="00B343CC" w:rsidRDefault="00106156" w:rsidP="00106156">
            <w:pPr>
              <w:jc w:val="right"/>
              <w:rPr>
                <w:rFonts w:cs="Times New Roman"/>
                <w:rtl/>
              </w:rPr>
            </w:pPr>
          </w:p>
        </w:tc>
      </w:tr>
      <w:tr w:rsidR="00106156" w:rsidRPr="00B343CC" w14:paraId="484822B9" w14:textId="77777777" w:rsidTr="0066227C">
        <w:tc>
          <w:tcPr>
            <w:tcW w:w="2693" w:type="dxa"/>
            <w:vAlign w:val="center"/>
          </w:tcPr>
          <w:p w14:paraId="63D98F0C" w14:textId="77777777" w:rsidR="00106156" w:rsidRPr="00B343CC" w:rsidRDefault="00106156" w:rsidP="00106156">
            <w:pPr>
              <w:tabs>
                <w:tab w:val="left" w:pos="-620"/>
              </w:tabs>
              <w:jc w:val="right"/>
              <w:rPr>
                <w:rFonts w:cs="Times New Roman"/>
              </w:rPr>
            </w:pPr>
          </w:p>
        </w:tc>
        <w:tc>
          <w:tcPr>
            <w:tcW w:w="2388" w:type="dxa"/>
            <w:vAlign w:val="center"/>
          </w:tcPr>
          <w:p w14:paraId="2C51BD17" w14:textId="77777777" w:rsidR="00106156" w:rsidRPr="00B343CC" w:rsidRDefault="00106156" w:rsidP="00106156">
            <w:pPr>
              <w:tabs>
                <w:tab w:val="left" w:pos="-620"/>
              </w:tabs>
              <w:jc w:val="right"/>
              <w:rPr>
                <w:rFonts w:cs="Times New Roman"/>
                <w:rtl/>
              </w:rPr>
            </w:pPr>
          </w:p>
        </w:tc>
        <w:tc>
          <w:tcPr>
            <w:tcW w:w="2410" w:type="dxa"/>
            <w:vAlign w:val="center"/>
          </w:tcPr>
          <w:p w14:paraId="56CFED40" w14:textId="77777777" w:rsidR="00106156" w:rsidRPr="00B343CC" w:rsidRDefault="00106156" w:rsidP="00106156">
            <w:pPr>
              <w:tabs>
                <w:tab w:val="left" w:pos="-620"/>
              </w:tabs>
              <w:bidi w:val="0"/>
              <w:rPr>
                <w:rFonts w:cs="Times New Roman"/>
                <w:rtl/>
              </w:rPr>
            </w:pPr>
            <w:r w:rsidRPr="00B343CC">
              <w:rPr>
                <w:rFonts w:cs="Times New Roman"/>
              </w:rPr>
              <w:t>Dr</w:t>
            </w:r>
            <w:r w:rsidRPr="00B343CC">
              <w:rPr>
                <w:rFonts w:cs="Times New Roman" w:hint="cs"/>
                <w:rtl/>
              </w:rPr>
              <w:t xml:space="preserve"> </w:t>
            </w:r>
            <w:r w:rsidRPr="00B343CC">
              <w:rPr>
                <w:rFonts w:cs="Times New Roman"/>
                <w:rtl/>
              </w:rPr>
              <w:t>.</w:t>
            </w:r>
            <w:r w:rsidRPr="00B343CC">
              <w:rPr>
                <w:rFonts w:cs="Times New Roman"/>
              </w:rPr>
              <w:t>Saleh AL-Kafri</w:t>
            </w:r>
          </w:p>
        </w:tc>
        <w:tc>
          <w:tcPr>
            <w:tcW w:w="277" w:type="dxa"/>
            <w:vAlign w:val="center"/>
          </w:tcPr>
          <w:p w14:paraId="01CD9E8C" w14:textId="77777777" w:rsidR="00106156" w:rsidRPr="00B343CC" w:rsidRDefault="00106156" w:rsidP="00106156">
            <w:pPr>
              <w:jc w:val="right"/>
              <w:rPr>
                <w:rFonts w:cs="Times New Roman"/>
                <w:rtl/>
              </w:rPr>
            </w:pPr>
          </w:p>
        </w:tc>
      </w:tr>
      <w:tr w:rsidR="00106156" w:rsidRPr="00B343CC" w14:paraId="5C698468" w14:textId="77777777" w:rsidTr="0066227C">
        <w:tc>
          <w:tcPr>
            <w:tcW w:w="7768" w:type="dxa"/>
            <w:gridSpan w:val="4"/>
            <w:vAlign w:val="center"/>
          </w:tcPr>
          <w:p w14:paraId="1268E017" w14:textId="77777777" w:rsidR="00106156" w:rsidRPr="00B343CC" w:rsidRDefault="00106156" w:rsidP="00106156">
            <w:pPr>
              <w:ind w:right="321"/>
              <w:jc w:val="right"/>
              <w:rPr>
                <w:rFonts w:cs="Times New Roman"/>
                <w:rtl/>
              </w:rPr>
            </w:pPr>
          </w:p>
        </w:tc>
      </w:tr>
      <w:tr w:rsidR="00106156" w:rsidRPr="00B343CC" w14:paraId="202E0631" w14:textId="77777777" w:rsidTr="0066227C">
        <w:tc>
          <w:tcPr>
            <w:tcW w:w="7768" w:type="dxa"/>
            <w:gridSpan w:val="4"/>
            <w:vAlign w:val="center"/>
          </w:tcPr>
          <w:p w14:paraId="57097082" w14:textId="77777777" w:rsidR="00106156" w:rsidRPr="00B343CC" w:rsidRDefault="00106156" w:rsidP="00106156">
            <w:pPr>
              <w:numPr>
                <w:ilvl w:val="0"/>
                <w:numId w:val="1"/>
              </w:numPr>
              <w:tabs>
                <w:tab w:val="clear" w:pos="720"/>
                <w:tab w:val="num" w:pos="261"/>
              </w:tabs>
              <w:bidi w:val="0"/>
              <w:ind w:left="403" w:right="0"/>
              <w:rPr>
                <w:rFonts w:cs="Times New Roman"/>
                <w:b/>
                <w:bCs/>
              </w:rPr>
            </w:pPr>
            <w:r w:rsidRPr="00B343CC">
              <w:rPr>
                <w:rFonts w:cs="Times New Roman"/>
                <w:b/>
                <w:bCs/>
              </w:rPr>
              <w:t>Final Review</w:t>
            </w:r>
          </w:p>
        </w:tc>
      </w:tr>
      <w:tr w:rsidR="003A08C9" w:rsidRPr="00B343CC" w14:paraId="056F2002" w14:textId="77777777" w:rsidTr="0066227C">
        <w:tc>
          <w:tcPr>
            <w:tcW w:w="2693" w:type="dxa"/>
            <w:vAlign w:val="center"/>
          </w:tcPr>
          <w:p w14:paraId="4D209221" w14:textId="77777777" w:rsidR="003A08C9" w:rsidRPr="00B343CC" w:rsidRDefault="003A08C9" w:rsidP="003A08C9">
            <w:pPr>
              <w:jc w:val="right"/>
              <w:rPr>
                <w:rFonts w:cs="Times New Roman"/>
                <w:rtl/>
                <w:lang w:val="en-AU"/>
              </w:rPr>
            </w:pPr>
          </w:p>
        </w:tc>
        <w:tc>
          <w:tcPr>
            <w:tcW w:w="2388" w:type="dxa"/>
            <w:vAlign w:val="center"/>
          </w:tcPr>
          <w:p w14:paraId="7592DE84" w14:textId="77777777" w:rsidR="003A08C9" w:rsidRPr="00B343CC" w:rsidRDefault="003A08C9" w:rsidP="003A08C9">
            <w:pPr>
              <w:rPr>
                <w:rFonts w:cs="Times New Roman"/>
              </w:rPr>
            </w:pPr>
          </w:p>
        </w:tc>
        <w:tc>
          <w:tcPr>
            <w:tcW w:w="2410" w:type="dxa"/>
            <w:vAlign w:val="center"/>
          </w:tcPr>
          <w:p w14:paraId="1E6F68B0" w14:textId="3B898951" w:rsidR="003A08C9" w:rsidRPr="00B343CC" w:rsidRDefault="003A08C9" w:rsidP="003A08C9">
            <w:pPr>
              <w:tabs>
                <w:tab w:val="left" w:pos="-620"/>
              </w:tabs>
              <w:jc w:val="right"/>
              <w:rPr>
                <w:rFonts w:cs="Times New Roman"/>
              </w:rPr>
            </w:pPr>
            <w:r w:rsidRPr="00B343CC">
              <w:rPr>
                <w:rFonts w:cs="Times New Roman"/>
              </w:rPr>
              <w:t>Mohammad Al-Draidi</w:t>
            </w:r>
          </w:p>
        </w:tc>
        <w:tc>
          <w:tcPr>
            <w:tcW w:w="277" w:type="dxa"/>
            <w:vAlign w:val="center"/>
          </w:tcPr>
          <w:p w14:paraId="330FEFCB" w14:textId="77777777" w:rsidR="003A08C9" w:rsidRPr="00B343CC" w:rsidRDefault="003A08C9" w:rsidP="003A08C9">
            <w:pPr>
              <w:jc w:val="right"/>
              <w:rPr>
                <w:rFonts w:cs="Times New Roman"/>
                <w:rtl/>
                <w:lang w:val="en-AU"/>
              </w:rPr>
            </w:pPr>
          </w:p>
        </w:tc>
      </w:tr>
      <w:tr w:rsidR="003A08C9" w:rsidRPr="00B343CC" w14:paraId="743B0D56" w14:textId="77777777" w:rsidTr="0066227C">
        <w:tc>
          <w:tcPr>
            <w:tcW w:w="2693" w:type="dxa"/>
            <w:vAlign w:val="center"/>
          </w:tcPr>
          <w:p w14:paraId="20B04CE9" w14:textId="77777777" w:rsidR="003A08C9" w:rsidRPr="00B343CC" w:rsidRDefault="003A08C9" w:rsidP="003A08C9">
            <w:pPr>
              <w:jc w:val="right"/>
              <w:rPr>
                <w:rFonts w:cs="Times New Roman"/>
                <w:rtl/>
                <w:lang w:val="en-AU"/>
              </w:rPr>
            </w:pPr>
          </w:p>
        </w:tc>
        <w:tc>
          <w:tcPr>
            <w:tcW w:w="2388" w:type="dxa"/>
            <w:vAlign w:val="center"/>
          </w:tcPr>
          <w:p w14:paraId="26834895" w14:textId="77777777" w:rsidR="003A08C9" w:rsidRPr="00B343CC" w:rsidRDefault="003A08C9" w:rsidP="003A08C9">
            <w:pPr>
              <w:rPr>
                <w:rFonts w:cs="Times New Roman"/>
              </w:rPr>
            </w:pPr>
          </w:p>
        </w:tc>
        <w:tc>
          <w:tcPr>
            <w:tcW w:w="2410" w:type="dxa"/>
            <w:vAlign w:val="center"/>
          </w:tcPr>
          <w:p w14:paraId="15844FFA" w14:textId="78665220" w:rsidR="003A08C9" w:rsidRPr="00B343CC" w:rsidRDefault="003A08C9" w:rsidP="003A08C9">
            <w:pPr>
              <w:tabs>
                <w:tab w:val="left" w:pos="-620"/>
              </w:tabs>
              <w:jc w:val="right"/>
              <w:rPr>
                <w:rFonts w:cs="Times New Roman"/>
                <w:rtl/>
              </w:rPr>
            </w:pPr>
            <w:r w:rsidRPr="00B343CC">
              <w:rPr>
                <w:rFonts w:cs="Times New Roman"/>
              </w:rPr>
              <w:t xml:space="preserve">Mohammad </w:t>
            </w:r>
            <w:r>
              <w:rPr>
                <w:rFonts w:cs="Times New Roman"/>
              </w:rPr>
              <w:t>Qlalwah</w:t>
            </w:r>
          </w:p>
        </w:tc>
        <w:tc>
          <w:tcPr>
            <w:tcW w:w="277" w:type="dxa"/>
            <w:vAlign w:val="center"/>
          </w:tcPr>
          <w:p w14:paraId="0FFCE71D" w14:textId="77777777" w:rsidR="003A08C9" w:rsidRPr="00B343CC" w:rsidRDefault="003A08C9" w:rsidP="003A08C9">
            <w:pPr>
              <w:jc w:val="right"/>
              <w:rPr>
                <w:rFonts w:cs="Times New Roman"/>
                <w:rtl/>
                <w:lang w:val="en-AU"/>
              </w:rPr>
            </w:pPr>
          </w:p>
        </w:tc>
      </w:tr>
      <w:tr w:rsidR="003A08C9" w:rsidRPr="00B343CC" w14:paraId="336CB8E7" w14:textId="77777777" w:rsidTr="0066227C">
        <w:tc>
          <w:tcPr>
            <w:tcW w:w="2693" w:type="dxa"/>
            <w:vAlign w:val="center"/>
          </w:tcPr>
          <w:p w14:paraId="187B993A" w14:textId="77777777" w:rsidR="003A08C9" w:rsidRPr="00B343CC" w:rsidRDefault="003A08C9" w:rsidP="003A08C9">
            <w:pPr>
              <w:jc w:val="right"/>
              <w:rPr>
                <w:rFonts w:cs="Times New Roman"/>
                <w:rtl/>
                <w:lang w:val="en-AU"/>
              </w:rPr>
            </w:pPr>
          </w:p>
        </w:tc>
        <w:tc>
          <w:tcPr>
            <w:tcW w:w="2388" w:type="dxa"/>
            <w:vAlign w:val="center"/>
          </w:tcPr>
          <w:p w14:paraId="58B1F8A5" w14:textId="77777777" w:rsidR="003A08C9" w:rsidRPr="00B343CC" w:rsidRDefault="003A08C9" w:rsidP="003A08C9">
            <w:pPr>
              <w:rPr>
                <w:rFonts w:cs="Times New Roman"/>
              </w:rPr>
            </w:pPr>
          </w:p>
        </w:tc>
        <w:tc>
          <w:tcPr>
            <w:tcW w:w="2410" w:type="dxa"/>
            <w:vAlign w:val="center"/>
          </w:tcPr>
          <w:p w14:paraId="3E9CC315" w14:textId="77777777" w:rsidR="003A08C9" w:rsidRPr="00B343CC" w:rsidRDefault="003A08C9" w:rsidP="003A08C9">
            <w:pPr>
              <w:tabs>
                <w:tab w:val="left" w:pos="-620"/>
              </w:tabs>
              <w:jc w:val="right"/>
              <w:rPr>
                <w:rFonts w:cs="Times New Roman"/>
              </w:rPr>
            </w:pPr>
            <w:r w:rsidRPr="00B343CC">
              <w:rPr>
                <w:rFonts w:cs="Times New Roman"/>
              </w:rPr>
              <w:t>Jawad Al-Saleh</w:t>
            </w:r>
          </w:p>
        </w:tc>
        <w:tc>
          <w:tcPr>
            <w:tcW w:w="277" w:type="dxa"/>
            <w:vAlign w:val="center"/>
          </w:tcPr>
          <w:p w14:paraId="1EF4E11C" w14:textId="77777777" w:rsidR="003A08C9" w:rsidRPr="00B343CC" w:rsidRDefault="003A08C9" w:rsidP="003A08C9">
            <w:pPr>
              <w:jc w:val="right"/>
              <w:rPr>
                <w:rFonts w:cs="Times New Roman"/>
                <w:rtl/>
                <w:lang w:val="en-AU"/>
              </w:rPr>
            </w:pPr>
          </w:p>
        </w:tc>
      </w:tr>
      <w:tr w:rsidR="003A08C9" w:rsidRPr="00B343CC" w14:paraId="39D57EA1" w14:textId="77777777" w:rsidTr="0066227C">
        <w:tc>
          <w:tcPr>
            <w:tcW w:w="2693" w:type="dxa"/>
            <w:vAlign w:val="center"/>
          </w:tcPr>
          <w:p w14:paraId="6CFE4590" w14:textId="77777777" w:rsidR="003A08C9" w:rsidRPr="00B343CC" w:rsidRDefault="003A08C9" w:rsidP="003A08C9">
            <w:pPr>
              <w:jc w:val="right"/>
              <w:rPr>
                <w:rFonts w:cs="Times New Roman"/>
              </w:rPr>
            </w:pPr>
          </w:p>
        </w:tc>
        <w:tc>
          <w:tcPr>
            <w:tcW w:w="2388" w:type="dxa"/>
            <w:vAlign w:val="center"/>
          </w:tcPr>
          <w:p w14:paraId="71BFA8BC" w14:textId="77777777" w:rsidR="003A08C9" w:rsidRPr="00B343CC" w:rsidRDefault="003A08C9" w:rsidP="003A08C9">
            <w:pPr>
              <w:jc w:val="right"/>
              <w:rPr>
                <w:rFonts w:cs="Times New Roman"/>
              </w:rPr>
            </w:pPr>
          </w:p>
        </w:tc>
        <w:tc>
          <w:tcPr>
            <w:tcW w:w="2687" w:type="dxa"/>
            <w:gridSpan w:val="2"/>
            <w:vAlign w:val="center"/>
          </w:tcPr>
          <w:p w14:paraId="60B92536" w14:textId="77777777" w:rsidR="003A08C9" w:rsidRPr="00B343CC" w:rsidRDefault="003A08C9" w:rsidP="003A08C9">
            <w:pPr>
              <w:bidi w:val="0"/>
              <w:ind w:left="43"/>
              <w:rPr>
                <w:rFonts w:cs="Times New Roman"/>
                <w:b/>
                <w:bCs/>
              </w:rPr>
            </w:pPr>
          </w:p>
        </w:tc>
      </w:tr>
      <w:tr w:rsidR="003A08C9" w:rsidRPr="00B343CC" w14:paraId="7DC5C29F" w14:textId="77777777" w:rsidTr="0066227C">
        <w:tc>
          <w:tcPr>
            <w:tcW w:w="7768" w:type="dxa"/>
            <w:gridSpan w:val="4"/>
            <w:vAlign w:val="center"/>
          </w:tcPr>
          <w:p w14:paraId="4E67C38C" w14:textId="77777777" w:rsidR="003A08C9" w:rsidRPr="00B343CC" w:rsidRDefault="003A08C9" w:rsidP="003A08C9">
            <w:pPr>
              <w:numPr>
                <w:ilvl w:val="0"/>
                <w:numId w:val="1"/>
              </w:numPr>
              <w:tabs>
                <w:tab w:val="clear" w:pos="720"/>
                <w:tab w:val="num" w:pos="261"/>
              </w:tabs>
              <w:bidi w:val="0"/>
              <w:ind w:left="403" w:right="0"/>
              <w:rPr>
                <w:rFonts w:cs="Times New Roman"/>
                <w:b/>
                <w:bCs/>
              </w:rPr>
            </w:pPr>
            <w:r w:rsidRPr="00B343CC">
              <w:rPr>
                <w:rFonts w:cs="Times New Roman"/>
                <w:b/>
                <w:bCs/>
              </w:rPr>
              <w:t>Overall Supervision</w:t>
            </w:r>
          </w:p>
        </w:tc>
      </w:tr>
      <w:tr w:rsidR="003A08C9" w:rsidRPr="00B343CC" w14:paraId="285F16D5" w14:textId="77777777" w:rsidTr="0066227C">
        <w:tc>
          <w:tcPr>
            <w:tcW w:w="2693" w:type="dxa"/>
            <w:vAlign w:val="center"/>
          </w:tcPr>
          <w:p w14:paraId="26C85C21" w14:textId="77777777" w:rsidR="003A08C9" w:rsidRPr="00B343CC" w:rsidRDefault="003A08C9" w:rsidP="003A08C9">
            <w:pPr>
              <w:jc w:val="right"/>
              <w:rPr>
                <w:rFonts w:cs="Times New Roman"/>
                <w:rtl/>
                <w:lang w:val="en-AU"/>
              </w:rPr>
            </w:pPr>
          </w:p>
        </w:tc>
        <w:tc>
          <w:tcPr>
            <w:tcW w:w="2388" w:type="dxa"/>
            <w:vAlign w:val="center"/>
          </w:tcPr>
          <w:p w14:paraId="6F8315F5" w14:textId="77777777" w:rsidR="003A08C9" w:rsidRPr="00B343CC" w:rsidRDefault="003A08C9" w:rsidP="003A08C9">
            <w:pPr>
              <w:jc w:val="right"/>
              <w:rPr>
                <w:rFonts w:cs="Times New Roman"/>
                <w:rtl/>
              </w:rPr>
            </w:pPr>
            <w:r w:rsidRPr="00B343CC">
              <w:rPr>
                <w:rFonts w:cs="Times New Roman"/>
              </w:rPr>
              <w:t>PCBS President</w:t>
            </w:r>
          </w:p>
        </w:tc>
        <w:tc>
          <w:tcPr>
            <w:tcW w:w="2410" w:type="dxa"/>
            <w:vAlign w:val="center"/>
          </w:tcPr>
          <w:p w14:paraId="12EE4C25" w14:textId="77777777" w:rsidR="003A08C9" w:rsidRPr="00B343CC" w:rsidRDefault="003A08C9" w:rsidP="003A08C9">
            <w:pPr>
              <w:bidi w:val="0"/>
              <w:rPr>
                <w:rFonts w:cs="Times New Roman"/>
                <w:rtl/>
              </w:rPr>
            </w:pPr>
            <w:r w:rsidRPr="00B343CC">
              <w:rPr>
                <w:rFonts w:cs="Times New Roman"/>
              </w:rPr>
              <w:t>Dr. Ola Awad</w:t>
            </w:r>
          </w:p>
        </w:tc>
        <w:tc>
          <w:tcPr>
            <w:tcW w:w="277" w:type="dxa"/>
            <w:vAlign w:val="center"/>
          </w:tcPr>
          <w:p w14:paraId="5AEBEFE5" w14:textId="77777777" w:rsidR="003A08C9" w:rsidRPr="00B343CC" w:rsidRDefault="003A08C9" w:rsidP="003A08C9">
            <w:pPr>
              <w:jc w:val="right"/>
              <w:rPr>
                <w:rFonts w:cs="Times New Roman"/>
                <w:rtl/>
                <w:lang w:val="en-AU"/>
              </w:rPr>
            </w:pPr>
          </w:p>
        </w:tc>
      </w:tr>
    </w:tbl>
    <w:p w14:paraId="5AC224DF" w14:textId="36E83369" w:rsidR="007C5E05" w:rsidRPr="00B343CC" w:rsidRDefault="007C5E05" w:rsidP="00563371">
      <w:pPr>
        <w:pStyle w:val="Title"/>
        <w:jc w:val="left"/>
        <w:rPr>
          <w:sz w:val="20"/>
          <w:szCs w:val="20"/>
        </w:rPr>
      </w:pPr>
    </w:p>
    <w:p w14:paraId="650D6271" w14:textId="77777777" w:rsidR="007C5E05" w:rsidRPr="00B343CC" w:rsidRDefault="007C5E05" w:rsidP="00323AE5">
      <w:pPr>
        <w:pStyle w:val="Title"/>
        <w:rPr>
          <w:sz w:val="20"/>
          <w:szCs w:val="20"/>
        </w:rPr>
      </w:pPr>
    </w:p>
    <w:p w14:paraId="4D866450" w14:textId="77777777" w:rsidR="007C5E05" w:rsidRPr="00B343CC" w:rsidRDefault="007C5E05" w:rsidP="00323AE5">
      <w:pPr>
        <w:pStyle w:val="Title"/>
        <w:rPr>
          <w:sz w:val="20"/>
          <w:szCs w:val="20"/>
        </w:rPr>
      </w:pPr>
    </w:p>
    <w:p w14:paraId="37C3340B" w14:textId="77777777" w:rsidR="007C5E05" w:rsidRPr="00B343CC" w:rsidRDefault="007C5E05" w:rsidP="00323AE5">
      <w:pPr>
        <w:pStyle w:val="Title"/>
        <w:rPr>
          <w:sz w:val="20"/>
          <w:szCs w:val="20"/>
        </w:rPr>
      </w:pPr>
    </w:p>
    <w:p w14:paraId="56B061D0" w14:textId="77777777" w:rsidR="007C5E05" w:rsidRPr="00B343CC" w:rsidRDefault="007C5E05" w:rsidP="00323AE5">
      <w:pPr>
        <w:pStyle w:val="Title"/>
        <w:rPr>
          <w:sz w:val="20"/>
          <w:szCs w:val="20"/>
        </w:rPr>
      </w:pPr>
    </w:p>
    <w:p w14:paraId="47A53DE8" w14:textId="77777777" w:rsidR="007C5E05" w:rsidRPr="00B343CC" w:rsidRDefault="007C5E05" w:rsidP="00323AE5">
      <w:pPr>
        <w:pStyle w:val="Title"/>
        <w:rPr>
          <w:sz w:val="20"/>
          <w:szCs w:val="20"/>
        </w:rPr>
      </w:pPr>
    </w:p>
    <w:p w14:paraId="2944C2DA" w14:textId="77777777" w:rsidR="007C5E05" w:rsidRPr="00B343CC" w:rsidRDefault="007C5E05" w:rsidP="00323AE5">
      <w:pPr>
        <w:pStyle w:val="Title"/>
        <w:rPr>
          <w:sz w:val="20"/>
          <w:szCs w:val="20"/>
        </w:rPr>
      </w:pPr>
    </w:p>
    <w:p w14:paraId="4DF3E94E" w14:textId="77777777" w:rsidR="007C5E05" w:rsidRPr="00B343CC" w:rsidRDefault="007C5E05" w:rsidP="00323AE5">
      <w:pPr>
        <w:pStyle w:val="Title"/>
        <w:rPr>
          <w:sz w:val="20"/>
          <w:szCs w:val="20"/>
        </w:rPr>
      </w:pPr>
    </w:p>
    <w:p w14:paraId="214A3373" w14:textId="77777777" w:rsidR="007C5E05" w:rsidRPr="00B343CC" w:rsidRDefault="007C5E05" w:rsidP="00323AE5">
      <w:pPr>
        <w:pStyle w:val="Title"/>
        <w:rPr>
          <w:sz w:val="20"/>
          <w:szCs w:val="20"/>
        </w:rPr>
      </w:pPr>
    </w:p>
    <w:p w14:paraId="36A47BA6" w14:textId="77777777" w:rsidR="007C5E05" w:rsidRPr="00B343CC" w:rsidRDefault="007C5E05" w:rsidP="00323AE5">
      <w:pPr>
        <w:pStyle w:val="Title"/>
        <w:rPr>
          <w:sz w:val="20"/>
          <w:szCs w:val="20"/>
        </w:rPr>
      </w:pPr>
    </w:p>
    <w:p w14:paraId="5F2863F9" w14:textId="77777777" w:rsidR="007C5E05" w:rsidRPr="00B343CC" w:rsidRDefault="007C5E05" w:rsidP="00323AE5">
      <w:pPr>
        <w:pStyle w:val="Title"/>
        <w:rPr>
          <w:sz w:val="20"/>
          <w:szCs w:val="20"/>
        </w:rPr>
      </w:pPr>
    </w:p>
    <w:p w14:paraId="2B902B0A" w14:textId="77777777" w:rsidR="007C5E05" w:rsidRPr="00B343CC" w:rsidRDefault="007C5E05" w:rsidP="00323AE5">
      <w:pPr>
        <w:pStyle w:val="Title"/>
        <w:rPr>
          <w:sz w:val="20"/>
          <w:szCs w:val="20"/>
        </w:rPr>
      </w:pPr>
    </w:p>
    <w:p w14:paraId="54CFE178" w14:textId="77777777" w:rsidR="007C5E05" w:rsidRPr="00B343CC" w:rsidRDefault="007C5E05" w:rsidP="00323AE5">
      <w:pPr>
        <w:pStyle w:val="Title"/>
        <w:rPr>
          <w:sz w:val="20"/>
          <w:szCs w:val="20"/>
        </w:rPr>
      </w:pPr>
    </w:p>
    <w:p w14:paraId="46099355" w14:textId="77777777" w:rsidR="007C5E05" w:rsidRPr="00B343CC" w:rsidRDefault="007C5E05" w:rsidP="00323AE5">
      <w:pPr>
        <w:pStyle w:val="Title"/>
        <w:rPr>
          <w:sz w:val="20"/>
          <w:szCs w:val="20"/>
        </w:rPr>
      </w:pPr>
    </w:p>
    <w:p w14:paraId="7865FC71" w14:textId="77777777" w:rsidR="007C5E05" w:rsidRPr="00B343CC" w:rsidRDefault="007C5E05" w:rsidP="00323AE5">
      <w:pPr>
        <w:pStyle w:val="Title"/>
        <w:rPr>
          <w:sz w:val="20"/>
          <w:szCs w:val="20"/>
        </w:rPr>
      </w:pPr>
    </w:p>
    <w:p w14:paraId="7B926FB6" w14:textId="77777777" w:rsidR="007C5E05" w:rsidRPr="00B343CC" w:rsidRDefault="007C5E05" w:rsidP="00323AE5">
      <w:pPr>
        <w:pStyle w:val="Title"/>
        <w:rPr>
          <w:sz w:val="20"/>
          <w:szCs w:val="20"/>
        </w:rPr>
      </w:pPr>
    </w:p>
    <w:p w14:paraId="3BD49247" w14:textId="77777777" w:rsidR="007C5E05" w:rsidRPr="00B343CC" w:rsidRDefault="007C5E05" w:rsidP="00323AE5">
      <w:pPr>
        <w:pStyle w:val="Title"/>
        <w:rPr>
          <w:sz w:val="20"/>
          <w:szCs w:val="20"/>
        </w:rPr>
      </w:pPr>
    </w:p>
    <w:p w14:paraId="64FC7CB1" w14:textId="77777777" w:rsidR="007C5E05" w:rsidRPr="00B343CC" w:rsidRDefault="007C5E05" w:rsidP="00323AE5">
      <w:pPr>
        <w:pStyle w:val="Title"/>
        <w:rPr>
          <w:sz w:val="20"/>
          <w:szCs w:val="20"/>
        </w:rPr>
      </w:pPr>
    </w:p>
    <w:p w14:paraId="45487668" w14:textId="77777777" w:rsidR="007C5E05" w:rsidRPr="00B343CC" w:rsidRDefault="007C5E05" w:rsidP="00323AE5">
      <w:pPr>
        <w:pStyle w:val="Title"/>
        <w:rPr>
          <w:sz w:val="20"/>
          <w:szCs w:val="20"/>
        </w:rPr>
      </w:pPr>
    </w:p>
    <w:p w14:paraId="07F34109" w14:textId="77777777" w:rsidR="007C5E05" w:rsidRPr="00B343CC" w:rsidRDefault="007C5E05" w:rsidP="00323AE5">
      <w:pPr>
        <w:pStyle w:val="Title"/>
        <w:rPr>
          <w:sz w:val="20"/>
          <w:szCs w:val="20"/>
        </w:rPr>
      </w:pPr>
    </w:p>
    <w:p w14:paraId="1A12B42A" w14:textId="77777777" w:rsidR="007C5E05" w:rsidRPr="00B343CC" w:rsidRDefault="007C5E05" w:rsidP="00323AE5">
      <w:pPr>
        <w:pStyle w:val="Title"/>
        <w:rPr>
          <w:sz w:val="20"/>
          <w:szCs w:val="20"/>
        </w:rPr>
      </w:pPr>
    </w:p>
    <w:p w14:paraId="5A966415" w14:textId="77777777" w:rsidR="007C5E05" w:rsidRPr="00B343CC" w:rsidRDefault="007C5E05" w:rsidP="00323AE5">
      <w:pPr>
        <w:pStyle w:val="Title"/>
        <w:rPr>
          <w:sz w:val="20"/>
          <w:szCs w:val="20"/>
        </w:rPr>
      </w:pPr>
    </w:p>
    <w:p w14:paraId="568A55A4" w14:textId="77777777" w:rsidR="007C5E05" w:rsidRPr="00B343CC" w:rsidRDefault="007C5E05" w:rsidP="00323AE5">
      <w:pPr>
        <w:pStyle w:val="Title"/>
        <w:rPr>
          <w:sz w:val="20"/>
          <w:szCs w:val="20"/>
        </w:rPr>
      </w:pPr>
    </w:p>
    <w:p w14:paraId="14045085" w14:textId="77777777" w:rsidR="007C5E05" w:rsidRPr="00B343CC" w:rsidRDefault="007C5E05" w:rsidP="00323AE5">
      <w:pPr>
        <w:pStyle w:val="Title"/>
        <w:rPr>
          <w:sz w:val="20"/>
          <w:szCs w:val="20"/>
        </w:rPr>
      </w:pPr>
    </w:p>
    <w:p w14:paraId="0491ACED" w14:textId="77777777" w:rsidR="007C5E05" w:rsidRPr="00B343CC" w:rsidRDefault="007C5E05" w:rsidP="00323AE5">
      <w:pPr>
        <w:pStyle w:val="Title"/>
        <w:rPr>
          <w:sz w:val="20"/>
          <w:szCs w:val="20"/>
        </w:rPr>
      </w:pPr>
    </w:p>
    <w:p w14:paraId="63A3B2D2" w14:textId="77777777" w:rsidR="007C5E05" w:rsidRPr="00B343CC" w:rsidRDefault="007C5E05" w:rsidP="00323AE5">
      <w:pPr>
        <w:pStyle w:val="Title"/>
        <w:rPr>
          <w:sz w:val="20"/>
          <w:szCs w:val="20"/>
        </w:rPr>
      </w:pPr>
    </w:p>
    <w:p w14:paraId="1A10215F" w14:textId="77777777" w:rsidR="007C5E05" w:rsidRPr="00B343CC" w:rsidRDefault="007C5E05" w:rsidP="00323AE5">
      <w:pPr>
        <w:pStyle w:val="Title"/>
        <w:rPr>
          <w:sz w:val="20"/>
          <w:szCs w:val="20"/>
        </w:rPr>
      </w:pPr>
    </w:p>
    <w:p w14:paraId="77DCEF62" w14:textId="77777777" w:rsidR="007C5E05" w:rsidRPr="00B343CC" w:rsidRDefault="007C5E05" w:rsidP="00323AE5">
      <w:pPr>
        <w:pStyle w:val="Title"/>
        <w:rPr>
          <w:sz w:val="20"/>
          <w:szCs w:val="20"/>
        </w:rPr>
      </w:pPr>
    </w:p>
    <w:p w14:paraId="71D87371" w14:textId="77777777" w:rsidR="007C5E05" w:rsidRPr="00B343CC" w:rsidRDefault="007C5E05" w:rsidP="00323AE5">
      <w:pPr>
        <w:pStyle w:val="Title"/>
        <w:rPr>
          <w:sz w:val="20"/>
          <w:szCs w:val="20"/>
        </w:rPr>
      </w:pPr>
    </w:p>
    <w:p w14:paraId="17D1A52C" w14:textId="77777777" w:rsidR="007C5E05" w:rsidRPr="00B343CC" w:rsidRDefault="007C5E05" w:rsidP="00323AE5">
      <w:pPr>
        <w:pStyle w:val="Title"/>
        <w:rPr>
          <w:sz w:val="20"/>
          <w:szCs w:val="20"/>
        </w:rPr>
      </w:pPr>
    </w:p>
    <w:p w14:paraId="60BA4AD8" w14:textId="77777777" w:rsidR="007C5E05" w:rsidRPr="00B343CC" w:rsidRDefault="007C5E05" w:rsidP="00323AE5">
      <w:pPr>
        <w:pStyle w:val="Title"/>
        <w:rPr>
          <w:sz w:val="20"/>
          <w:szCs w:val="20"/>
        </w:rPr>
      </w:pPr>
    </w:p>
    <w:p w14:paraId="65D633B5" w14:textId="77777777" w:rsidR="007C5E05" w:rsidRPr="00B343CC" w:rsidRDefault="007C5E05" w:rsidP="00323AE5">
      <w:pPr>
        <w:pStyle w:val="Title"/>
        <w:rPr>
          <w:sz w:val="20"/>
          <w:szCs w:val="20"/>
        </w:rPr>
      </w:pPr>
    </w:p>
    <w:p w14:paraId="658A8E87" w14:textId="77777777" w:rsidR="007C5E05" w:rsidRPr="00B343CC" w:rsidRDefault="007C5E05" w:rsidP="00323AE5">
      <w:pPr>
        <w:pStyle w:val="Title"/>
        <w:rPr>
          <w:sz w:val="20"/>
          <w:szCs w:val="20"/>
        </w:rPr>
      </w:pPr>
    </w:p>
    <w:p w14:paraId="0F8AC0D7" w14:textId="77777777" w:rsidR="007C5E05" w:rsidRPr="00B343CC" w:rsidRDefault="007C5E05" w:rsidP="00323AE5">
      <w:pPr>
        <w:pStyle w:val="Title"/>
        <w:rPr>
          <w:sz w:val="20"/>
          <w:szCs w:val="20"/>
        </w:rPr>
      </w:pPr>
    </w:p>
    <w:p w14:paraId="5914ABE1" w14:textId="77777777" w:rsidR="007C5E05" w:rsidRPr="00B343CC" w:rsidRDefault="007C5E05" w:rsidP="00323AE5">
      <w:pPr>
        <w:pStyle w:val="Title"/>
        <w:rPr>
          <w:sz w:val="20"/>
          <w:szCs w:val="20"/>
        </w:rPr>
      </w:pPr>
    </w:p>
    <w:p w14:paraId="0912C44A" w14:textId="77777777" w:rsidR="007C5E05" w:rsidRPr="00B343CC" w:rsidRDefault="007C5E05" w:rsidP="00323AE5">
      <w:pPr>
        <w:pStyle w:val="Title"/>
        <w:rPr>
          <w:sz w:val="20"/>
          <w:szCs w:val="20"/>
        </w:rPr>
      </w:pPr>
    </w:p>
    <w:p w14:paraId="3000ED6D" w14:textId="77777777" w:rsidR="007C5E05" w:rsidRPr="00B343CC" w:rsidRDefault="007C5E05" w:rsidP="00323AE5">
      <w:pPr>
        <w:pStyle w:val="Title"/>
        <w:rPr>
          <w:sz w:val="20"/>
          <w:szCs w:val="20"/>
        </w:rPr>
      </w:pPr>
    </w:p>
    <w:p w14:paraId="2EA13E53" w14:textId="77777777" w:rsidR="007C5E05" w:rsidRPr="00B343CC" w:rsidRDefault="007C5E05" w:rsidP="00323AE5">
      <w:pPr>
        <w:pStyle w:val="Title"/>
        <w:rPr>
          <w:sz w:val="20"/>
          <w:szCs w:val="20"/>
        </w:rPr>
      </w:pPr>
    </w:p>
    <w:p w14:paraId="7AE0B3D1" w14:textId="77777777" w:rsidR="007C5E05" w:rsidRPr="00B343CC" w:rsidRDefault="007C5E05" w:rsidP="00323AE5">
      <w:pPr>
        <w:pStyle w:val="Title"/>
        <w:rPr>
          <w:sz w:val="20"/>
          <w:szCs w:val="20"/>
        </w:rPr>
      </w:pPr>
    </w:p>
    <w:p w14:paraId="195F4593" w14:textId="77777777" w:rsidR="007C5E05" w:rsidRPr="00B343CC" w:rsidRDefault="007C5E05" w:rsidP="00323AE5">
      <w:pPr>
        <w:pStyle w:val="Title"/>
        <w:rPr>
          <w:sz w:val="20"/>
          <w:szCs w:val="20"/>
        </w:rPr>
      </w:pPr>
    </w:p>
    <w:p w14:paraId="76FCDA90" w14:textId="77777777" w:rsidR="007C5E05" w:rsidRPr="00B343CC" w:rsidRDefault="007C5E05" w:rsidP="00323AE5">
      <w:pPr>
        <w:pStyle w:val="Title"/>
        <w:rPr>
          <w:sz w:val="20"/>
          <w:szCs w:val="20"/>
        </w:rPr>
      </w:pPr>
    </w:p>
    <w:p w14:paraId="5D59AF10" w14:textId="77777777" w:rsidR="007C5E05" w:rsidRPr="00B343CC" w:rsidRDefault="007C5E05" w:rsidP="00323AE5">
      <w:pPr>
        <w:pStyle w:val="Title"/>
        <w:rPr>
          <w:sz w:val="20"/>
          <w:szCs w:val="20"/>
        </w:rPr>
      </w:pPr>
    </w:p>
    <w:p w14:paraId="549DD041" w14:textId="77777777" w:rsidR="007C5E05" w:rsidRPr="00B343CC" w:rsidRDefault="007C5E05" w:rsidP="00323AE5">
      <w:pPr>
        <w:pStyle w:val="Title"/>
        <w:rPr>
          <w:sz w:val="20"/>
          <w:szCs w:val="20"/>
        </w:rPr>
      </w:pPr>
    </w:p>
    <w:p w14:paraId="454B267A" w14:textId="77777777" w:rsidR="007C5E05" w:rsidRPr="00B343CC" w:rsidRDefault="007C5E05" w:rsidP="00323AE5">
      <w:pPr>
        <w:pStyle w:val="Title"/>
        <w:rPr>
          <w:sz w:val="20"/>
          <w:szCs w:val="20"/>
        </w:rPr>
      </w:pPr>
    </w:p>
    <w:p w14:paraId="6F10007E" w14:textId="77777777" w:rsidR="007C5E05" w:rsidRPr="00B343CC" w:rsidRDefault="007C5E05" w:rsidP="00323AE5">
      <w:pPr>
        <w:pStyle w:val="Title"/>
        <w:rPr>
          <w:sz w:val="20"/>
          <w:szCs w:val="20"/>
        </w:rPr>
      </w:pPr>
    </w:p>
    <w:p w14:paraId="53EFCA5F" w14:textId="77777777" w:rsidR="007C5E05" w:rsidRPr="00B343CC" w:rsidRDefault="007C5E05" w:rsidP="00323AE5">
      <w:pPr>
        <w:pStyle w:val="Title"/>
        <w:rPr>
          <w:sz w:val="20"/>
          <w:szCs w:val="20"/>
        </w:rPr>
      </w:pPr>
    </w:p>
    <w:p w14:paraId="31338E3B" w14:textId="77777777" w:rsidR="007C5E05" w:rsidRPr="00B343CC" w:rsidRDefault="007C5E05" w:rsidP="00323AE5">
      <w:pPr>
        <w:pStyle w:val="Title"/>
        <w:rPr>
          <w:sz w:val="20"/>
          <w:szCs w:val="20"/>
        </w:rPr>
      </w:pPr>
    </w:p>
    <w:p w14:paraId="21E4409B" w14:textId="77777777" w:rsidR="007C5E05" w:rsidRPr="00B343CC" w:rsidRDefault="007C5E05" w:rsidP="00323AE5">
      <w:pPr>
        <w:pStyle w:val="Title"/>
        <w:rPr>
          <w:sz w:val="20"/>
          <w:szCs w:val="20"/>
        </w:rPr>
      </w:pPr>
    </w:p>
    <w:p w14:paraId="4C8F459C" w14:textId="77777777" w:rsidR="007C5E05" w:rsidRPr="00B343CC" w:rsidRDefault="007C5E05" w:rsidP="00323AE5">
      <w:pPr>
        <w:bidi w:val="0"/>
        <w:rPr>
          <w:rFonts w:cs="Times New Roman"/>
          <w:b/>
          <w:bCs/>
        </w:rPr>
      </w:pPr>
      <w:r w:rsidRPr="00B343CC">
        <w:br w:type="page"/>
      </w:r>
    </w:p>
    <w:p w14:paraId="2F6E6091" w14:textId="77777777" w:rsidR="007C5E05" w:rsidRPr="00B343CC" w:rsidRDefault="007C5E05" w:rsidP="00323AE5">
      <w:pPr>
        <w:pStyle w:val="Title"/>
        <w:rPr>
          <w:sz w:val="26"/>
          <w:szCs w:val="26"/>
        </w:rPr>
      </w:pPr>
      <w:r w:rsidRPr="00B343CC">
        <w:rPr>
          <w:sz w:val="26"/>
          <w:szCs w:val="26"/>
        </w:rPr>
        <w:lastRenderedPageBreak/>
        <w:t>Preface</w:t>
      </w:r>
    </w:p>
    <w:p w14:paraId="387B6DEC" w14:textId="77777777" w:rsidR="007C5E05" w:rsidRPr="00B343CC" w:rsidRDefault="007C5E05" w:rsidP="00323AE5">
      <w:pPr>
        <w:pStyle w:val="Title"/>
        <w:rPr>
          <w:sz w:val="20"/>
          <w:szCs w:val="20"/>
        </w:rPr>
      </w:pPr>
    </w:p>
    <w:p w14:paraId="7234C901" w14:textId="174EDDFE" w:rsidR="00745BDD" w:rsidRPr="00B343CC" w:rsidRDefault="00745BDD" w:rsidP="0025341E">
      <w:pPr>
        <w:bidi w:val="0"/>
        <w:jc w:val="both"/>
        <w:rPr>
          <w:rFonts w:cs="Times New Roman"/>
        </w:rPr>
      </w:pPr>
      <w:r w:rsidRPr="00B343CC">
        <w:rPr>
          <w:rFonts w:cs="Times New Roman"/>
        </w:rPr>
        <w:t>We are pleased to present to you the twenty-</w:t>
      </w:r>
      <w:r w:rsidR="0025341E" w:rsidRPr="00B343CC">
        <w:rPr>
          <w:rFonts w:cs="Times New Roman"/>
        </w:rPr>
        <w:t xml:space="preserve"> sixth</w:t>
      </w:r>
      <w:r w:rsidR="008020C9" w:rsidRPr="00B343CC">
        <w:rPr>
          <w:rFonts w:cs="Times New Roman"/>
        </w:rPr>
        <w:t xml:space="preserve"> </w:t>
      </w:r>
      <w:r w:rsidRPr="00B343CC">
        <w:rPr>
          <w:rFonts w:cs="Times New Roman"/>
        </w:rPr>
        <w:t>edition of the Statistical Yearbook of Palestine. This edition complements the efforts of the Palestinian Central Bureau of Statistics in providing a continuous time series of statistical data that allow for the study of various general trends. It serves as a comprehensive statistical reference covering most demographic, social, economic, geographic and environmental aspects.</w:t>
      </w:r>
    </w:p>
    <w:p w14:paraId="6E101622" w14:textId="77777777" w:rsidR="00745BDD" w:rsidRPr="00B343CC" w:rsidRDefault="00745BDD" w:rsidP="00745BDD">
      <w:pPr>
        <w:bidi w:val="0"/>
        <w:jc w:val="both"/>
        <w:rPr>
          <w:rFonts w:cs="Times New Roman"/>
        </w:rPr>
      </w:pPr>
    </w:p>
    <w:p w14:paraId="7A2E1068" w14:textId="3DE4B96B" w:rsidR="00745BDD" w:rsidRPr="00B343CC" w:rsidRDefault="00745BDD" w:rsidP="0025341E">
      <w:pPr>
        <w:bidi w:val="0"/>
        <w:jc w:val="both"/>
        <w:rPr>
          <w:rFonts w:cs="Times New Roman"/>
        </w:rPr>
      </w:pPr>
      <w:r w:rsidRPr="00B343CC">
        <w:rPr>
          <w:rFonts w:cs="Times New Roman"/>
        </w:rPr>
        <w:t xml:space="preserve">The Statistical Yearbook of Palestine </w:t>
      </w:r>
      <w:r w:rsidR="0025341E" w:rsidRPr="00B343CC">
        <w:rPr>
          <w:rFonts w:cs="Times New Roman"/>
        </w:rPr>
        <w:t>2025</w:t>
      </w:r>
      <w:r w:rsidRPr="00B343CC">
        <w:rPr>
          <w:rFonts w:cs="Times New Roman"/>
        </w:rPr>
        <w:t xml:space="preserve"> is among the most important comprehensive official statistical references that have to do with the Palestinians worldwide. The report provides official statistics on various aspects of life of the Palestinian society in the State of Palestine, in addition to all available statistics on the Palestinian people wherever they are located.</w:t>
      </w:r>
    </w:p>
    <w:p w14:paraId="543861F0" w14:textId="77777777" w:rsidR="00745BDD" w:rsidRPr="00B343CC" w:rsidRDefault="00745BDD" w:rsidP="00745BDD">
      <w:pPr>
        <w:bidi w:val="0"/>
        <w:jc w:val="both"/>
        <w:rPr>
          <w:rFonts w:cs="Times New Roman"/>
        </w:rPr>
      </w:pPr>
    </w:p>
    <w:p w14:paraId="12120D48" w14:textId="77777777" w:rsidR="00745BDD" w:rsidRPr="00B343CC" w:rsidRDefault="00745BDD" w:rsidP="00745BDD">
      <w:pPr>
        <w:bidi w:val="0"/>
        <w:jc w:val="both"/>
        <w:rPr>
          <w:rFonts w:cs="Times New Roman"/>
        </w:rPr>
      </w:pPr>
      <w:r w:rsidRPr="00B343CC">
        <w:rPr>
          <w:rFonts w:cs="Times New Roman"/>
        </w:rPr>
        <w:t>The Statistical Yearbook reviews the reality of the Palestinians in five main chapters. The first chapter addresses the demographic and social characteristics of the Palestinian society, while the second chapter presents statistics on the land and environment of Palestine. The third chapter provides statistical information on the Palestinian economy, and the fourth chapter sheds light on the reality of Palestinians in the occupied Palestinian territories since 1948. It covers demographic, social, economic, geographic, and environmental characteristics of the population. Finally, the fifth chapter discusses the features of the Palestinians in the Diaspora concentrated in neighboring Arab countries: Jordan, Syria, and Lebanon.</w:t>
      </w:r>
    </w:p>
    <w:p w14:paraId="59943582" w14:textId="77777777" w:rsidR="00745BDD" w:rsidRPr="00B343CC" w:rsidRDefault="00745BDD" w:rsidP="00745BDD">
      <w:pPr>
        <w:bidi w:val="0"/>
        <w:jc w:val="both"/>
        <w:rPr>
          <w:rFonts w:cs="Times New Roman"/>
        </w:rPr>
      </w:pPr>
    </w:p>
    <w:p w14:paraId="25D59877" w14:textId="77777777" w:rsidR="003B2CE9" w:rsidRPr="00B343CC" w:rsidRDefault="00745BDD" w:rsidP="00745BDD">
      <w:pPr>
        <w:bidi w:val="0"/>
        <w:jc w:val="both"/>
        <w:rPr>
          <w:rFonts w:cs="Times New Roman"/>
        </w:rPr>
      </w:pPr>
      <w:r w:rsidRPr="00B343CC">
        <w:rPr>
          <w:rFonts w:cs="Times New Roman"/>
        </w:rPr>
        <w:t>We hope that this Statistical Yearbook contributes to bridging the information gap, providing a fundamental reference for the Palestinian official statistics that serves decision-makers and policy-makers in formulating/drafting plans, programs, and interventions based on professional and scientific grounds. This approach aims to support the developmental process in the State of Palestine.</w:t>
      </w:r>
    </w:p>
    <w:p w14:paraId="0E46D7B6" w14:textId="77777777" w:rsidR="003B2CE9" w:rsidRPr="00B343CC" w:rsidRDefault="003B2CE9" w:rsidP="00323AE5">
      <w:pPr>
        <w:bidi w:val="0"/>
        <w:jc w:val="both"/>
        <w:rPr>
          <w:rFonts w:cs="Times New Roman"/>
        </w:rPr>
      </w:pPr>
    </w:p>
    <w:p w14:paraId="4ECE29B9" w14:textId="77777777" w:rsidR="007C5E05" w:rsidRPr="00B343CC" w:rsidRDefault="007C5E05" w:rsidP="00323AE5">
      <w:pPr>
        <w:pStyle w:val="Heading6"/>
        <w:rPr>
          <w:rFonts w:cs="Times New Roman"/>
          <w:b/>
          <w:bCs/>
          <w:sz w:val="20"/>
          <w:szCs w:val="20"/>
        </w:rPr>
      </w:pPr>
    </w:p>
    <w:p w14:paraId="5623786B" w14:textId="77777777" w:rsidR="007C5E05" w:rsidRPr="00B343CC" w:rsidRDefault="007C5E05" w:rsidP="00323AE5">
      <w:pPr>
        <w:pStyle w:val="Heading6"/>
        <w:bidi/>
        <w:jc w:val="right"/>
        <w:rPr>
          <w:rFonts w:cs="Times New Roman"/>
          <w:b/>
          <w:bCs/>
          <w:sz w:val="20"/>
          <w:szCs w:val="20"/>
          <w:rtl/>
        </w:rPr>
      </w:pPr>
    </w:p>
    <w:tbl>
      <w:tblPr>
        <w:tblW w:w="0" w:type="auto"/>
        <w:jc w:val="right"/>
        <w:tblLayout w:type="fixed"/>
        <w:tblLook w:val="0000" w:firstRow="0" w:lastRow="0" w:firstColumn="0" w:lastColumn="0" w:noHBand="0" w:noVBand="0"/>
      </w:tblPr>
      <w:tblGrid>
        <w:gridCol w:w="4104"/>
        <w:gridCol w:w="2914"/>
      </w:tblGrid>
      <w:tr w:rsidR="007C5E05" w:rsidRPr="00B343CC" w14:paraId="013A5958" w14:textId="77777777" w:rsidTr="0066227C">
        <w:trPr>
          <w:jc w:val="right"/>
        </w:trPr>
        <w:tc>
          <w:tcPr>
            <w:tcW w:w="4104" w:type="dxa"/>
          </w:tcPr>
          <w:p w14:paraId="29CF9563" w14:textId="1BFD8B04" w:rsidR="007C5E05" w:rsidRPr="00B343CC" w:rsidRDefault="007C5E05" w:rsidP="0025341E">
            <w:pPr>
              <w:bidi w:val="0"/>
              <w:rPr>
                <w:rFonts w:cs="Times New Roman"/>
                <w:b/>
                <w:bCs/>
                <w:rtl/>
                <w:lang w:val="en-AU"/>
              </w:rPr>
            </w:pPr>
            <w:r w:rsidRPr="00B343CC">
              <w:rPr>
                <w:rFonts w:cs="Times New Roman"/>
                <w:b/>
                <w:bCs/>
              </w:rPr>
              <w:t xml:space="preserve">December </w:t>
            </w:r>
            <w:r w:rsidR="0025341E" w:rsidRPr="00B343CC">
              <w:rPr>
                <w:rFonts w:cs="Times New Roman"/>
                <w:b/>
                <w:bCs/>
              </w:rPr>
              <w:t>2025</w:t>
            </w:r>
          </w:p>
        </w:tc>
        <w:tc>
          <w:tcPr>
            <w:tcW w:w="2914" w:type="dxa"/>
          </w:tcPr>
          <w:p w14:paraId="1BA2BBC0" w14:textId="77777777" w:rsidR="007C5E05" w:rsidRPr="00B343CC" w:rsidRDefault="007C5E05" w:rsidP="00323AE5">
            <w:pPr>
              <w:tabs>
                <w:tab w:val="right" w:pos="3996"/>
              </w:tabs>
              <w:bidi w:val="0"/>
              <w:ind w:right="6"/>
              <w:jc w:val="center"/>
              <w:rPr>
                <w:rFonts w:cs="Times New Roman"/>
                <w:b/>
                <w:bCs/>
              </w:rPr>
            </w:pPr>
            <w:r w:rsidRPr="00B343CC">
              <w:rPr>
                <w:rFonts w:cs="Times New Roman"/>
                <w:b/>
                <w:bCs/>
              </w:rPr>
              <w:t>Dr. Ola Awad</w:t>
            </w:r>
          </w:p>
          <w:p w14:paraId="4D0984D9" w14:textId="77777777" w:rsidR="007C5E05" w:rsidRPr="00B343CC" w:rsidRDefault="007C5E05" w:rsidP="00323AE5">
            <w:pPr>
              <w:tabs>
                <w:tab w:val="right" w:pos="3996"/>
              </w:tabs>
              <w:bidi w:val="0"/>
              <w:ind w:right="6"/>
              <w:jc w:val="center"/>
              <w:rPr>
                <w:rFonts w:cs="Times New Roman"/>
                <w:b/>
                <w:bCs/>
                <w:rtl/>
                <w:lang w:val="en-AU"/>
              </w:rPr>
            </w:pPr>
            <w:r w:rsidRPr="00B343CC">
              <w:rPr>
                <w:rFonts w:cs="Times New Roman"/>
                <w:b/>
                <w:bCs/>
              </w:rPr>
              <w:t>President</w:t>
            </w:r>
            <w:r w:rsidRPr="00B343CC">
              <w:rPr>
                <w:rFonts w:cs="Times New Roman"/>
                <w:b/>
                <w:bCs/>
                <w:lang w:val="en-AU"/>
              </w:rPr>
              <w:t xml:space="preserve"> of PCBS</w:t>
            </w:r>
          </w:p>
        </w:tc>
      </w:tr>
    </w:tbl>
    <w:p w14:paraId="368236A6" w14:textId="77777777" w:rsidR="007C5E05" w:rsidRPr="00B343CC" w:rsidRDefault="007C5E05" w:rsidP="00323AE5">
      <w:pPr>
        <w:bidi w:val="0"/>
        <w:jc w:val="both"/>
        <w:rPr>
          <w:rFonts w:cs="Times New Roman"/>
        </w:rPr>
      </w:pPr>
    </w:p>
    <w:p w14:paraId="3C774231" w14:textId="77777777" w:rsidR="007C5E05" w:rsidRPr="00B343CC" w:rsidRDefault="007C5E05" w:rsidP="00323AE5">
      <w:pPr>
        <w:pStyle w:val="H1"/>
        <w:spacing w:before="0" w:after="0"/>
        <w:jc w:val="center"/>
        <w:rPr>
          <w:sz w:val="20"/>
          <w:szCs w:val="20"/>
        </w:rPr>
      </w:pPr>
      <w:r w:rsidRPr="00B343CC">
        <w:rPr>
          <w:sz w:val="20"/>
          <w:szCs w:val="20"/>
        </w:rPr>
        <w:t xml:space="preserve"> </w:t>
      </w:r>
      <w:r w:rsidRPr="00B343CC">
        <w:rPr>
          <w:sz w:val="20"/>
          <w:szCs w:val="20"/>
        </w:rPr>
        <w:br w:type="page"/>
      </w:r>
    </w:p>
    <w:p w14:paraId="46332678" w14:textId="77777777" w:rsidR="007C5E05" w:rsidRPr="00B343CC" w:rsidRDefault="007C5E05" w:rsidP="00323AE5">
      <w:pPr>
        <w:pStyle w:val="H1"/>
        <w:spacing w:before="0" w:after="0"/>
        <w:jc w:val="center"/>
        <w:rPr>
          <w:sz w:val="20"/>
          <w:szCs w:val="20"/>
        </w:rPr>
      </w:pPr>
    </w:p>
    <w:p w14:paraId="3357AD2D" w14:textId="77777777" w:rsidR="007C5E05" w:rsidRPr="00B343CC" w:rsidRDefault="007C5E05" w:rsidP="00323AE5">
      <w:pPr>
        <w:pStyle w:val="H1"/>
        <w:spacing w:before="0" w:after="0"/>
        <w:jc w:val="center"/>
        <w:rPr>
          <w:sz w:val="20"/>
          <w:szCs w:val="20"/>
        </w:rPr>
      </w:pPr>
    </w:p>
    <w:p w14:paraId="459B5A2F" w14:textId="77777777" w:rsidR="007C5E05" w:rsidRPr="00B343CC" w:rsidRDefault="007C5E05" w:rsidP="00323AE5">
      <w:pPr>
        <w:pStyle w:val="H1"/>
        <w:spacing w:before="0" w:after="0"/>
        <w:jc w:val="center"/>
        <w:rPr>
          <w:sz w:val="20"/>
          <w:szCs w:val="20"/>
        </w:rPr>
      </w:pPr>
    </w:p>
    <w:p w14:paraId="73DF97CF" w14:textId="77777777" w:rsidR="007C5E05" w:rsidRPr="00B343CC" w:rsidRDefault="007C5E05" w:rsidP="00323AE5">
      <w:pPr>
        <w:pStyle w:val="H1"/>
        <w:spacing w:before="0" w:after="0"/>
        <w:jc w:val="center"/>
        <w:rPr>
          <w:sz w:val="20"/>
          <w:szCs w:val="20"/>
        </w:rPr>
      </w:pPr>
    </w:p>
    <w:p w14:paraId="63CFDF20" w14:textId="77777777" w:rsidR="007C5E05" w:rsidRPr="00B343CC" w:rsidRDefault="007C5E05" w:rsidP="00323AE5">
      <w:pPr>
        <w:pStyle w:val="H1"/>
        <w:spacing w:before="0" w:after="0"/>
        <w:jc w:val="center"/>
        <w:rPr>
          <w:sz w:val="20"/>
          <w:szCs w:val="20"/>
        </w:rPr>
      </w:pPr>
    </w:p>
    <w:p w14:paraId="38AFC370" w14:textId="77777777" w:rsidR="007C5E05" w:rsidRPr="00B343CC" w:rsidRDefault="007C5E05" w:rsidP="00323AE5">
      <w:pPr>
        <w:pStyle w:val="H1"/>
        <w:spacing w:before="0" w:after="0"/>
        <w:jc w:val="center"/>
        <w:rPr>
          <w:sz w:val="20"/>
          <w:szCs w:val="20"/>
        </w:rPr>
      </w:pPr>
    </w:p>
    <w:p w14:paraId="49E98058" w14:textId="77777777" w:rsidR="007C5E05" w:rsidRPr="00B343CC" w:rsidRDefault="007C5E05" w:rsidP="00323AE5">
      <w:pPr>
        <w:pStyle w:val="H1"/>
        <w:spacing w:before="0" w:after="0"/>
        <w:jc w:val="center"/>
        <w:rPr>
          <w:sz w:val="20"/>
          <w:szCs w:val="20"/>
        </w:rPr>
      </w:pPr>
    </w:p>
    <w:p w14:paraId="1DED95F3" w14:textId="77777777" w:rsidR="007C5E05" w:rsidRPr="00B343CC" w:rsidRDefault="007C5E05" w:rsidP="00323AE5">
      <w:pPr>
        <w:pStyle w:val="H1"/>
        <w:spacing w:before="0" w:after="0"/>
        <w:jc w:val="center"/>
        <w:rPr>
          <w:sz w:val="20"/>
          <w:szCs w:val="20"/>
        </w:rPr>
      </w:pPr>
    </w:p>
    <w:p w14:paraId="3E9E46EC" w14:textId="77777777" w:rsidR="007C5E05" w:rsidRPr="00B343CC" w:rsidRDefault="007C5E05" w:rsidP="00323AE5">
      <w:pPr>
        <w:pStyle w:val="H1"/>
        <w:spacing w:before="0" w:after="0"/>
        <w:jc w:val="center"/>
        <w:rPr>
          <w:sz w:val="20"/>
          <w:szCs w:val="20"/>
        </w:rPr>
      </w:pPr>
    </w:p>
    <w:p w14:paraId="591395B0" w14:textId="77777777" w:rsidR="007C5E05" w:rsidRPr="00B343CC" w:rsidRDefault="007C5E05" w:rsidP="00323AE5">
      <w:pPr>
        <w:pStyle w:val="H1"/>
        <w:spacing w:before="0" w:after="0"/>
        <w:jc w:val="center"/>
        <w:rPr>
          <w:sz w:val="20"/>
          <w:szCs w:val="20"/>
        </w:rPr>
      </w:pPr>
    </w:p>
    <w:p w14:paraId="5F62657D" w14:textId="77777777" w:rsidR="007C5E05" w:rsidRPr="00B343CC" w:rsidRDefault="007C5E05" w:rsidP="00323AE5">
      <w:pPr>
        <w:pStyle w:val="H1"/>
        <w:spacing w:before="0" w:after="0"/>
        <w:jc w:val="center"/>
        <w:rPr>
          <w:sz w:val="20"/>
          <w:szCs w:val="20"/>
        </w:rPr>
      </w:pPr>
    </w:p>
    <w:p w14:paraId="5CDC6378" w14:textId="77777777" w:rsidR="007C5E05" w:rsidRPr="00B343CC" w:rsidRDefault="007C5E05" w:rsidP="00323AE5">
      <w:pPr>
        <w:pStyle w:val="H1"/>
        <w:spacing w:before="0" w:after="0"/>
        <w:jc w:val="center"/>
        <w:rPr>
          <w:sz w:val="20"/>
          <w:szCs w:val="20"/>
        </w:rPr>
      </w:pPr>
    </w:p>
    <w:p w14:paraId="0DE0E47D" w14:textId="77777777" w:rsidR="007C5E05" w:rsidRPr="00B343CC" w:rsidRDefault="007C5E05" w:rsidP="00323AE5">
      <w:pPr>
        <w:pStyle w:val="H1"/>
        <w:spacing w:before="0" w:after="0"/>
        <w:jc w:val="center"/>
        <w:rPr>
          <w:sz w:val="20"/>
          <w:szCs w:val="20"/>
        </w:rPr>
      </w:pPr>
    </w:p>
    <w:p w14:paraId="07AA467C" w14:textId="77777777" w:rsidR="007C5E05" w:rsidRPr="00B343CC" w:rsidRDefault="007C5E05" w:rsidP="00323AE5">
      <w:pPr>
        <w:pStyle w:val="H1"/>
        <w:spacing w:before="0" w:after="0"/>
        <w:jc w:val="center"/>
        <w:rPr>
          <w:sz w:val="20"/>
          <w:szCs w:val="20"/>
        </w:rPr>
      </w:pPr>
    </w:p>
    <w:p w14:paraId="2A5EC9EE" w14:textId="77777777" w:rsidR="007C5E05" w:rsidRPr="00B343CC" w:rsidRDefault="007C5E05" w:rsidP="00323AE5">
      <w:pPr>
        <w:pStyle w:val="H1"/>
        <w:spacing w:before="0" w:after="0"/>
        <w:jc w:val="center"/>
        <w:rPr>
          <w:sz w:val="20"/>
          <w:szCs w:val="20"/>
        </w:rPr>
      </w:pPr>
    </w:p>
    <w:p w14:paraId="117582DC" w14:textId="77777777" w:rsidR="007C5E05" w:rsidRPr="00B343CC" w:rsidRDefault="007C5E05" w:rsidP="00323AE5">
      <w:pPr>
        <w:pStyle w:val="H1"/>
        <w:spacing w:before="0" w:after="0"/>
        <w:jc w:val="center"/>
        <w:rPr>
          <w:sz w:val="20"/>
          <w:szCs w:val="20"/>
        </w:rPr>
      </w:pPr>
    </w:p>
    <w:p w14:paraId="6429EBC4" w14:textId="77777777" w:rsidR="007C5E05" w:rsidRPr="00B343CC" w:rsidRDefault="007C5E05" w:rsidP="00323AE5">
      <w:pPr>
        <w:pStyle w:val="H1"/>
        <w:spacing w:before="0" w:after="0"/>
        <w:jc w:val="center"/>
        <w:rPr>
          <w:sz w:val="20"/>
          <w:szCs w:val="20"/>
        </w:rPr>
      </w:pPr>
    </w:p>
    <w:p w14:paraId="3746A0BC" w14:textId="77777777" w:rsidR="007C5E05" w:rsidRPr="00B343CC" w:rsidRDefault="007C5E05" w:rsidP="00323AE5">
      <w:pPr>
        <w:pStyle w:val="H1"/>
        <w:spacing w:before="0" w:after="0"/>
        <w:jc w:val="center"/>
        <w:rPr>
          <w:sz w:val="20"/>
          <w:szCs w:val="20"/>
        </w:rPr>
      </w:pPr>
    </w:p>
    <w:p w14:paraId="2B9120AB" w14:textId="77777777" w:rsidR="007C5E05" w:rsidRPr="00B343CC" w:rsidRDefault="007C5E05" w:rsidP="00323AE5">
      <w:pPr>
        <w:pStyle w:val="H1"/>
        <w:spacing w:before="0" w:after="0"/>
        <w:jc w:val="center"/>
        <w:rPr>
          <w:sz w:val="20"/>
          <w:szCs w:val="20"/>
        </w:rPr>
      </w:pPr>
    </w:p>
    <w:p w14:paraId="799F07D3" w14:textId="77777777" w:rsidR="007C5E05" w:rsidRPr="00B343CC" w:rsidRDefault="007C5E05" w:rsidP="00323AE5">
      <w:pPr>
        <w:pStyle w:val="H1"/>
        <w:spacing w:before="0" w:after="0"/>
        <w:jc w:val="center"/>
        <w:rPr>
          <w:sz w:val="20"/>
          <w:szCs w:val="20"/>
        </w:rPr>
      </w:pPr>
    </w:p>
    <w:p w14:paraId="64FC2355" w14:textId="77777777" w:rsidR="007C5E05" w:rsidRPr="00B343CC" w:rsidRDefault="007C5E05" w:rsidP="00323AE5">
      <w:pPr>
        <w:pStyle w:val="H1"/>
        <w:spacing w:before="0" w:after="0"/>
        <w:jc w:val="center"/>
        <w:rPr>
          <w:sz w:val="20"/>
          <w:szCs w:val="20"/>
        </w:rPr>
      </w:pPr>
    </w:p>
    <w:p w14:paraId="37E4737C" w14:textId="77777777" w:rsidR="007C5E05" w:rsidRPr="00B343CC" w:rsidRDefault="007C5E05" w:rsidP="00323AE5">
      <w:pPr>
        <w:pStyle w:val="H1"/>
        <w:spacing w:before="0" w:after="0"/>
        <w:jc w:val="center"/>
        <w:rPr>
          <w:sz w:val="20"/>
          <w:szCs w:val="20"/>
        </w:rPr>
      </w:pPr>
    </w:p>
    <w:p w14:paraId="522F1C56" w14:textId="77777777" w:rsidR="007C5E05" w:rsidRPr="00B343CC" w:rsidRDefault="007C5E05" w:rsidP="00323AE5">
      <w:pPr>
        <w:pStyle w:val="H1"/>
        <w:spacing w:before="0" w:after="0"/>
        <w:jc w:val="center"/>
        <w:rPr>
          <w:sz w:val="20"/>
          <w:szCs w:val="20"/>
        </w:rPr>
      </w:pPr>
    </w:p>
    <w:p w14:paraId="745EE33C" w14:textId="77777777" w:rsidR="007C5E05" w:rsidRPr="00B343CC" w:rsidRDefault="007C5E05" w:rsidP="00323AE5">
      <w:pPr>
        <w:pStyle w:val="H1"/>
        <w:spacing w:before="0" w:after="0"/>
        <w:jc w:val="center"/>
        <w:rPr>
          <w:sz w:val="20"/>
          <w:szCs w:val="20"/>
        </w:rPr>
      </w:pPr>
    </w:p>
    <w:p w14:paraId="77406663" w14:textId="77777777" w:rsidR="007C5E05" w:rsidRPr="00B343CC" w:rsidRDefault="007C5E05" w:rsidP="00323AE5">
      <w:pPr>
        <w:pStyle w:val="H1"/>
        <w:spacing w:before="0" w:after="0"/>
        <w:jc w:val="center"/>
        <w:rPr>
          <w:sz w:val="20"/>
          <w:szCs w:val="20"/>
        </w:rPr>
      </w:pPr>
    </w:p>
    <w:p w14:paraId="7CA4CBE3" w14:textId="77777777" w:rsidR="007C5E05" w:rsidRPr="00B343CC" w:rsidRDefault="007C5E05" w:rsidP="00323AE5">
      <w:pPr>
        <w:bidi w:val="0"/>
        <w:rPr>
          <w:rFonts w:cs="Times New Roman"/>
          <w:b/>
          <w:bCs/>
          <w:noProof w:val="0"/>
          <w:kern w:val="36"/>
        </w:rPr>
      </w:pPr>
      <w:r w:rsidRPr="00B343CC">
        <w:br w:type="page"/>
      </w:r>
    </w:p>
    <w:p w14:paraId="592EC145" w14:textId="77777777" w:rsidR="007C5E05" w:rsidRPr="00B343CC" w:rsidRDefault="007C5E05" w:rsidP="00323AE5">
      <w:pPr>
        <w:pStyle w:val="H1"/>
        <w:spacing w:before="0" w:after="0"/>
        <w:jc w:val="center"/>
        <w:rPr>
          <w:sz w:val="26"/>
          <w:szCs w:val="26"/>
        </w:rPr>
      </w:pPr>
      <w:r w:rsidRPr="00B343CC">
        <w:rPr>
          <w:sz w:val="26"/>
          <w:szCs w:val="26"/>
        </w:rPr>
        <w:lastRenderedPageBreak/>
        <w:t>Important Note</w:t>
      </w:r>
    </w:p>
    <w:p w14:paraId="71B94D01" w14:textId="77777777" w:rsidR="007C5E05" w:rsidRPr="00B343CC" w:rsidRDefault="007C5E05" w:rsidP="00323AE5">
      <w:pPr>
        <w:bidi w:val="0"/>
        <w:jc w:val="both"/>
        <w:rPr>
          <w:rFonts w:cs="Times New Roman"/>
          <w:b/>
          <w:bCs/>
        </w:rPr>
      </w:pPr>
    </w:p>
    <w:p w14:paraId="6CCC1081" w14:textId="20F719B0" w:rsidR="007C5E05" w:rsidRPr="00B343CC" w:rsidRDefault="007C5E05" w:rsidP="0025341E">
      <w:pPr>
        <w:bidi w:val="0"/>
        <w:jc w:val="both"/>
        <w:rPr>
          <w:rFonts w:cs="Times New Roman"/>
        </w:rPr>
      </w:pPr>
      <w:r w:rsidRPr="00B343CC">
        <w:rPr>
          <w:rFonts w:cs="Times New Roman"/>
        </w:rPr>
        <w:t xml:space="preserve">The statistical data in the first three sections were derived from PCBS publications. In addition, all terms and concepts used in this book are sourced from the Glossary of Statistical Terms and Concepts </w:t>
      </w:r>
      <w:r w:rsidR="0025341E" w:rsidRPr="00B343CC">
        <w:rPr>
          <w:rFonts w:cs="Times New Roman"/>
        </w:rPr>
        <w:t>2025</w:t>
      </w:r>
      <w:r w:rsidRPr="00B343CC">
        <w:rPr>
          <w:rFonts w:cs="Times New Roman"/>
        </w:rPr>
        <w:t xml:space="preserve"> and can be obtained through the website </w:t>
      </w:r>
      <w:r w:rsidR="000F7961" w:rsidRPr="00B343CC">
        <w:rPr>
          <w:rFonts w:cs="Times New Roman"/>
        </w:rPr>
        <w:t xml:space="preserve">via </w:t>
      </w:r>
      <w:r w:rsidRPr="00B343CC">
        <w:rPr>
          <w:rFonts w:cs="Times New Roman"/>
        </w:rPr>
        <w:t>the link (</w:t>
      </w:r>
      <w:hyperlink r:id="rId13" w:history="1">
        <w:r w:rsidRPr="00B343CC">
          <w:rPr>
            <w:rStyle w:val="Hyperlink"/>
            <w:rFonts w:cs="Times New Roman"/>
            <w:color w:val="auto"/>
            <w:u w:val="none"/>
          </w:rPr>
          <w:t>https://www.pcbs.gov.ps/site/lang__ar/612/default.aspx?lang=ar</w:t>
        </w:r>
      </w:hyperlink>
      <w:r w:rsidRPr="00B343CC">
        <w:rPr>
          <w:rFonts w:cs="Times New Roman"/>
        </w:rPr>
        <w:t xml:space="preserve"> ). Reader can, if he</w:t>
      </w:r>
      <w:r w:rsidR="009271A5" w:rsidRPr="00B343CC">
        <w:rPr>
          <w:rFonts w:cs="Times New Roman"/>
        </w:rPr>
        <w:t>/she</w:t>
      </w:r>
      <w:r w:rsidRPr="00B343CC">
        <w:rPr>
          <w:rFonts w:cs="Times New Roman"/>
        </w:rPr>
        <w:t xml:space="preserve"> need</w:t>
      </w:r>
      <w:r w:rsidR="000F7961" w:rsidRPr="00B343CC">
        <w:rPr>
          <w:rFonts w:cs="Times New Roman"/>
        </w:rPr>
        <w:t>s</w:t>
      </w:r>
      <w:r w:rsidRPr="00B343CC">
        <w:rPr>
          <w:rFonts w:cs="Times New Roman"/>
        </w:rPr>
        <w:t xml:space="preserve"> more informations, refer to these publications</w:t>
      </w:r>
      <w:r w:rsidRPr="00B343CC">
        <w:t>.</w:t>
      </w:r>
    </w:p>
    <w:p w14:paraId="6BA2097D" w14:textId="77777777" w:rsidR="007C5E05" w:rsidRPr="00B343CC" w:rsidRDefault="007C5E05" w:rsidP="00323AE5">
      <w:pPr>
        <w:bidi w:val="0"/>
        <w:jc w:val="both"/>
        <w:rPr>
          <w:rFonts w:cs="Times New Roman"/>
        </w:rPr>
      </w:pPr>
    </w:p>
    <w:p w14:paraId="4252FE84" w14:textId="77777777" w:rsidR="007C5E05" w:rsidRPr="00B343CC" w:rsidRDefault="007C5E05" w:rsidP="00323AE5">
      <w:pPr>
        <w:bidi w:val="0"/>
        <w:jc w:val="both"/>
        <w:rPr>
          <w:rFonts w:cs="Times New Roman"/>
        </w:rPr>
      </w:pPr>
      <w:r w:rsidRPr="00B343CC">
        <w:rPr>
          <w:rFonts w:cs="Times New Roman"/>
        </w:rPr>
        <w:t>There are some minor differences between the value of some variables and their aggregates in tables as a result of rounding of calculations and as a result of use different sources.</w:t>
      </w:r>
    </w:p>
    <w:p w14:paraId="04FADC68" w14:textId="77777777" w:rsidR="007C5E05" w:rsidRPr="00B343CC" w:rsidRDefault="007C5E05" w:rsidP="00323AE5">
      <w:pPr>
        <w:bidi w:val="0"/>
        <w:jc w:val="both"/>
        <w:rPr>
          <w:rFonts w:cs="Times New Roman"/>
        </w:rPr>
      </w:pPr>
    </w:p>
    <w:p w14:paraId="26E63C14" w14:textId="77777777" w:rsidR="007C5E05" w:rsidRPr="00B343CC" w:rsidRDefault="007C5E05" w:rsidP="00323AE5">
      <w:pPr>
        <w:bidi w:val="0"/>
        <w:jc w:val="both"/>
        <w:rPr>
          <w:rFonts w:cs="Times New Roman"/>
        </w:rPr>
      </w:pPr>
      <w:r w:rsidRPr="00B343CC">
        <w:rPr>
          <w:rFonts w:cs="Times New Roman"/>
        </w:rPr>
        <w:t>It may also be noted that there are differences in some values of the same variables for the same year in this version compared to previous versions. This resulted from the revision of the data published in this version compared with previous versions.</w:t>
      </w:r>
    </w:p>
    <w:p w14:paraId="699B8AE1" w14:textId="77777777" w:rsidR="007C5E05" w:rsidRPr="00B343CC" w:rsidRDefault="007C5E05" w:rsidP="00323AE5">
      <w:pPr>
        <w:bidi w:val="0"/>
        <w:jc w:val="both"/>
        <w:rPr>
          <w:rFonts w:cs="Times New Roman"/>
          <w:rtl/>
        </w:rPr>
      </w:pPr>
    </w:p>
    <w:p w14:paraId="0F2BBBBF" w14:textId="77777777" w:rsidR="007C5E05" w:rsidRPr="00B343CC" w:rsidRDefault="007C5E05" w:rsidP="00323AE5">
      <w:pPr>
        <w:pStyle w:val="ListParagraph"/>
        <w:bidi w:val="0"/>
        <w:ind w:left="0"/>
        <w:jc w:val="lowKashida"/>
        <w:rPr>
          <w:rFonts w:cs="Times New Roman"/>
          <w:sz w:val="20"/>
        </w:rPr>
      </w:pPr>
      <w:r w:rsidRPr="00B343CC">
        <w:rPr>
          <w:rFonts w:cs="Times New Roman"/>
          <w:sz w:val="20"/>
        </w:rPr>
        <w:t>For more details for English readers about any topic in this Yearbook, please refer to the tables in the Arabic section, which are in both Arabic and English</w:t>
      </w:r>
      <w:r w:rsidR="004D69FF" w:rsidRPr="00B343CC">
        <w:rPr>
          <w:rFonts w:cs="Times New Roman"/>
          <w:sz w:val="20"/>
        </w:rPr>
        <w:t xml:space="preserve"> languages</w:t>
      </w:r>
      <w:r w:rsidRPr="00B343CC">
        <w:rPr>
          <w:rFonts w:cs="Times New Roman"/>
          <w:sz w:val="20"/>
        </w:rPr>
        <w:t>.</w:t>
      </w:r>
    </w:p>
    <w:p w14:paraId="1BCE5858" w14:textId="77777777" w:rsidR="00F87E70" w:rsidRPr="00B343CC" w:rsidRDefault="00F87E70" w:rsidP="00F87E70">
      <w:pPr>
        <w:bidi w:val="0"/>
        <w:jc w:val="both"/>
        <w:rPr>
          <w:rFonts w:cs="Times New Roman"/>
        </w:rPr>
      </w:pPr>
    </w:p>
    <w:p w14:paraId="20CD8398" w14:textId="77777777" w:rsidR="005E52EC" w:rsidRPr="00B343CC" w:rsidRDefault="005E52EC" w:rsidP="005E52EC">
      <w:pPr>
        <w:bidi w:val="0"/>
        <w:jc w:val="both"/>
        <w:rPr>
          <w:rFonts w:cs="Times New Roman"/>
          <w:rtl/>
        </w:rPr>
      </w:pPr>
    </w:p>
    <w:p w14:paraId="073E29C0" w14:textId="074AC753" w:rsidR="00D3741F" w:rsidRPr="00B343CC" w:rsidRDefault="00D3741F" w:rsidP="00FE4608">
      <w:pPr>
        <w:bidi w:val="0"/>
        <w:jc w:val="both"/>
        <w:rPr>
          <w:rFonts w:cs="Times New Roman"/>
        </w:rPr>
      </w:pPr>
      <w:r w:rsidRPr="00B343CC">
        <w:rPr>
          <w:rFonts w:cs="Times New Roman"/>
        </w:rPr>
        <w:t>Since October 7</w:t>
      </w:r>
      <w:r w:rsidR="00EB6967" w:rsidRPr="00B343CC">
        <w:rPr>
          <w:rFonts w:cs="Times New Roman"/>
          <w:vertAlign w:val="superscript"/>
        </w:rPr>
        <w:t>th</w:t>
      </w:r>
      <w:r w:rsidRPr="00B343CC">
        <w:rPr>
          <w:rFonts w:cs="Times New Roman"/>
        </w:rPr>
        <w:t xml:space="preserve">, 2023, Palestine, and particularly Gaza Strip, has been </w:t>
      </w:r>
      <w:r w:rsidR="002525BF" w:rsidRPr="00B343CC">
        <w:rPr>
          <w:rFonts w:cs="Times New Roman"/>
        </w:rPr>
        <w:t>under</w:t>
      </w:r>
      <w:r w:rsidR="00FE4608" w:rsidRPr="00B343CC">
        <w:rPr>
          <w:rFonts w:cs="Times New Roman" w:hint="cs"/>
          <w:rtl/>
        </w:rPr>
        <w:t xml:space="preserve"> </w:t>
      </w:r>
      <w:r w:rsidR="002525BF" w:rsidRPr="00B343CC">
        <w:rPr>
          <w:rFonts w:cs="Times New Roman"/>
        </w:rPr>
        <w:t xml:space="preserve">the Israeli occupation </w:t>
      </w:r>
      <w:r w:rsidRPr="00B343CC">
        <w:rPr>
          <w:rFonts w:cs="Times New Roman"/>
        </w:rPr>
        <w:t>aggression. This has impacted the availability and dissemination of many indicators and data included in this Statistical Yearbook</w:t>
      </w:r>
      <w:r w:rsidRPr="00B343CC">
        <w:rPr>
          <w:rFonts w:cs="Times New Roman" w:hint="cs"/>
          <w:rtl/>
        </w:rPr>
        <w:t xml:space="preserve"> </w:t>
      </w:r>
      <w:r w:rsidRPr="00B343CC">
        <w:rPr>
          <w:rFonts w:cs="Times New Roman"/>
        </w:rPr>
        <w:t>compared to previous editions of the Statistical Yearbook of Palestine.</w:t>
      </w:r>
    </w:p>
    <w:p w14:paraId="76D461D2" w14:textId="77777777" w:rsidR="00D3741F" w:rsidRPr="00B343CC" w:rsidRDefault="00D3741F" w:rsidP="00D3741F">
      <w:pPr>
        <w:bidi w:val="0"/>
        <w:jc w:val="both"/>
        <w:rPr>
          <w:rFonts w:cs="Times New Roman"/>
          <w:rtl/>
        </w:rPr>
      </w:pPr>
    </w:p>
    <w:p w14:paraId="4CB9A289" w14:textId="77777777" w:rsidR="007C5E05" w:rsidRPr="00B343CC" w:rsidRDefault="007C5E05" w:rsidP="00323AE5">
      <w:pPr>
        <w:bidi w:val="0"/>
        <w:jc w:val="both"/>
        <w:rPr>
          <w:rFonts w:cs="Times New Roman"/>
        </w:rPr>
      </w:pPr>
      <w:r w:rsidRPr="00B343CC">
        <w:rPr>
          <w:rFonts w:cs="Times New Roman"/>
        </w:rPr>
        <w:t>A set of special symbols were used in the tables of this book. The representations of these symbols are as follows:</w:t>
      </w:r>
    </w:p>
    <w:p w14:paraId="089D3551" w14:textId="77777777" w:rsidR="007C5E05" w:rsidRPr="00B343CC" w:rsidRDefault="007C5E05" w:rsidP="00323AE5">
      <w:pPr>
        <w:bidi w:val="0"/>
        <w:jc w:val="both"/>
        <w:rPr>
          <w:rFonts w:cs="Times New Roman"/>
          <w:b/>
          <w:bCs/>
        </w:rPr>
      </w:pPr>
    </w:p>
    <w:tbl>
      <w:tblPr>
        <w:tblW w:w="0" w:type="auto"/>
        <w:tblLook w:val="0000" w:firstRow="0" w:lastRow="0" w:firstColumn="0" w:lastColumn="0" w:noHBand="0" w:noVBand="0"/>
      </w:tblPr>
      <w:tblGrid>
        <w:gridCol w:w="644"/>
        <w:gridCol w:w="6375"/>
      </w:tblGrid>
      <w:tr w:rsidR="00B05766" w:rsidRPr="00B343CC" w14:paraId="345AF49E" w14:textId="77777777" w:rsidTr="0066227C">
        <w:tc>
          <w:tcPr>
            <w:tcW w:w="644" w:type="dxa"/>
            <w:vAlign w:val="center"/>
          </w:tcPr>
          <w:p w14:paraId="12132C36" w14:textId="77777777" w:rsidR="007C5E05" w:rsidRPr="00B343CC" w:rsidRDefault="007C5E05" w:rsidP="00323AE5">
            <w:pPr>
              <w:pStyle w:val="Heading1"/>
              <w:rPr>
                <w:rFonts w:ascii="Times New Roman" w:hAnsi="Times New Roman" w:cs="Times New Roman"/>
                <w:sz w:val="20"/>
              </w:rPr>
            </w:pPr>
            <w:r w:rsidRPr="00B343CC">
              <w:rPr>
                <w:rFonts w:ascii="Times New Roman" w:hAnsi="Times New Roman" w:cs="Times New Roman"/>
                <w:sz w:val="20"/>
              </w:rPr>
              <w:t xml:space="preserve"> (-)</w:t>
            </w:r>
          </w:p>
        </w:tc>
        <w:tc>
          <w:tcPr>
            <w:tcW w:w="6375" w:type="dxa"/>
            <w:vAlign w:val="center"/>
          </w:tcPr>
          <w:p w14:paraId="0493C78C" w14:textId="77777777" w:rsidR="007C5E05" w:rsidRPr="00B343CC" w:rsidRDefault="007C5E05" w:rsidP="00323AE5">
            <w:pPr>
              <w:pStyle w:val="Heading7"/>
              <w:rPr>
                <w:rFonts w:cs="Times New Roman"/>
                <w:sz w:val="20"/>
                <w:szCs w:val="20"/>
              </w:rPr>
            </w:pPr>
            <w:r w:rsidRPr="00B343CC">
              <w:rPr>
                <w:rFonts w:cs="Times New Roman"/>
                <w:sz w:val="20"/>
                <w:szCs w:val="20"/>
              </w:rPr>
              <w:t>Nil no Observations\ Cases</w:t>
            </w:r>
          </w:p>
        </w:tc>
      </w:tr>
      <w:tr w:rsidR="00B05766" w:rsidRPr="00B343CC" w14:paraId="28D98D82" w14:textId="77777777" w:rsidTr="0066227C">
        <w:tc>
          <w:tcPr>
            <w:tcW w:w="644" w:type="dxa"/>
            <w:vAlign w:val="center"/>
          </w:tcPr>
          <w:p w14:paraId="20671210" w14:textId="77777777" w:rsidR="007C5E05" w:rsidRPr="00B343CC" w:rsidRDefault="007C5E05" w:rsidP="00323AE5">
            <w:pPr>
              <w:pStyle w:val="Heading1"/>
              <w:rPr>
                <w:rFonts w:ascii="Times New Roman" w:hAnsi="Times New Roman" w:cs="Times New Roman"/>
                <w:sz w:val="20"/>
              </w:rPr>
            </w:pPr>
            <w:r w:rsidRPr="00B343CC">
              <w:rPr>
                <w:rFonts w:ascii="Times New Roman" w:hAnsi="Times New Roman" w:cs="Times New Roman"/>
                <w:sz w:val="20"/>
              </w:rPr>
              <w:t>(.)</w:t>
            </w:r>
          </w:p>
        </w:tc>
        <w:tc>
          <w:tcPr>
            <w:tcW w:w="6375" w:type="dxa"/>
          </w:tcPr>
          <w:p w14:paraId="2D2CC049" w14:textId="77777777" w:rsidR="007C5E05" w:rsidRPr="00B343CC" w:rsidRDefault="007C5E05" w:rsidP="00323AE5">
            <w:pPr>
              <w:bidi w:val="0"/>
              <w:jc w:val="both"/>
              <w:rPr>
                <w:rFonts w:cs="Times New Roman"/>
              </w:rPr>
            </w:pPr>
            <w:r w:rsidRPr="00B343CC">
              <w:rPr>
                <w:rFonts w:cs="Times New Roman"/>
              </w:rPr>
              <w:t>Category not applicable</w:t>
            </w:r>
          </w:p>
        </w:tc>
      </w:tr>
      <w:tr w:rsidR="00B05766" w:rsidRPr="00B343CC" w14:paraId="7ADDF7E9" w14:textId="77777777" w:rsidTr="0066227C">
        <w:tc>
          <w:tcPr>
            <w:tcW w:w="644" w:type="dxa"/>
            <w:vAlign w:val="center"/>
          </w:tcPr>
          <w:p w14:paraId="3D1677AA" w14:textId="77777777" w:rsidR="007C5E05" w:rsidRPr="00B343CC" w:rsidRDefault="007C5E05" w:rsidP="00323AE5">
            <w:pPr>
              <w:pStyle w:val="Heading1"/>
              <w:rPr>
                <w:rFonts w:ascii="Times New Roman" w:hAnsi="Times New Roman" w:cs="Times New Roman"/>
                <w:sz w:val="20"/>
              </w:rPr>
            </w:pPr>
            <w:r w:rsidRPr="00B343CC">
              <w:rPr>
                <w:rFonts w:ascii="Times New Roman" w:hAnsi="Times New Roman" w:cs="Times New Roman"/>
                <w:sz w:val="20"/>
              </w:rPr>
              <w:t>(..)</w:t>
            </w:r>
          </w:p>
        </w:tc>
        <w:tc>
          <w:tcPr>
            <w:tcW w:w="6375" w:type="dxa"/>
          </w:tcPr>
          <w:p w14:paraId="21F97A85" w14:textId="77777777" w:rsidR="007C5E05" w:rsidRPr="00B343CC" w:rsidRDefault="007C5E05" w:rsidP="00323AE5">
            <w:pPr>
              <w:bidi w:val="0"/>
              <w:jc w:val="both"/>
              <w:rPr>
                <w:rFonts w:cs="Times New Roman"/>
              </w:rPr>
            </w:pPr>
            <w:r w:rsidRPr="00B343CC">
              <w:rPr>
                <w:rFonts w:cs="Times New Roman"/>
              </w:rPr>
              <w:t>Data not available</w:t>
            </w:r>
          </w:p>
        </w:tc>
      </w:tr>
      <w:tr w:rsidR="007C5E05" w:rsidRPr="00B343CC" w14:paraId="4CB2B196" w14:textId="77777777" w:rsidTr="0066227C">
        <w:tc>
          <w:tcPr>
            <w:tcW w:w="644" w:type="dxa"/>
            <w:vAlign w:val="center"/>
          </w:tcPr>
          <w:p w14:paraId="307C9D4E" w14:textId="77777777" w:rsidR="007C5E05" w:rsidRPr="00B343CC" w:rsidRDefault="007C5E05" w:rsidP="00323AE5">
            <w:pPr>
              <w:pStyle w:val="Heading1"/>
              <w:rPr>
                <w:rFonts w:ascii="Times New Roman" w:hAnsi="Times New Roman" w:cs="Times New Roman"/>
                <w:sz w:val="20"/>
              </w:rPr>
            </w:pPr>
            <w:r w:rsidRPr="00B343CC">
              <w:rPr>
                <w:rFonts w:ascii="Times New Roman" w:hAnsi="Times New Roman" w:cs="Times New Roman"/>
                <w:sz w:val="20"/>
              </w:rPr>
              <w:t>(:)</w:t>
            </w:r>
          </w:p>
        </w:tc>
        <w:tc>
          <w:tcPr>
            <w:tcW w:w="6375" w:type="dxa"/>
          </w:tcPr>
          <w:p w14:paraId="37AB9653" w14:textId="77777777" w:rsidR="007C5E05" w:rsidRPr="00B343CC" w:rsidRDefault="007C5E05" w:rsidP="00323AE5">
            <w:pPr>
              <w:bidi w:val="0"/>
              <w:jc w:val="both"/>
              <w:rPr>
                <w:rFonts w:cs="Times New Roman"/>
              </w:rPr>
            </w:pPr>
            <w:r w:rsidRPr="00B343CC">
              <w:rPr>
                <w:rFonts w:cs="Times New Roman"/>
              </w:rPr>
              <w:t>Data not available for publication</w:t>
            </w:r>
          </w:p>
        </w:tc>
      </w:tr>
    </w:tbl>
    <w:p w14:paraId="7E53B39C" w14:textId="77777777" w:rsidR="007C5E05" w:rsidRPr="00B343CC" w:rsidRDefault="007C5E05" w:rsidP="00323AE5">
      <w:pPr>
        <w:pStyle w:val="Heading1"/>
        <w:jc w:val="both"/>
        <w:rPr>
          <w:rFonts w:ascii="Times New Roman" w:hAnsi="Times New Roman" w:cs="Times New Roman"/>
          <w:b/>
          <w:bCs/>
          <w:sz w:val="20"/>
        </w:rPr>
      </w:pPr>
    </w:p>
    <w:p w14:paraId="6C1E6BFE" w14:textId="77777777" w:rsidR="007C5E05" w:rsidRPr="00B343CC" w:rsidRDefault="007C5E05" w:rsidP="00323AE5">
      <w:pPr>
        <w:pStyle w:val="Heading1"/>
        <w:jc w:val="both"/>
        <w:rPr>
          <w:rFonts w:ascii="Times New Roman" w:hAnsi="Times New Roman" w:cs="Times New Roman"/>
          <w:b/>
          <w:bCs/>
          <w:sz w:val="20"/>
        </w:rPr>
      </w:pPr>
    </w:p>
    <w:p w14:paraId="6621E715" w14:textId="77777777" w:rsidR="007C5E05" w:rsidRPr="00B343CC" w:rsidRDefault="007C5E05" w:rsidP="00323AE5">
      <w:pPr>
        <w:pStyle w:val="Heading1"/>
        <w:jc w:val="both"/>
        <w:rPr>
          <w:rFonts w:ascii="Times New Roman" w:hAnsi="Times New Roman" w:cs="Times New Roman"/>
          <w:b/>
          <w:bCs/>
          <w:sz w:val="20"/>
        </w:rPr>
      </w:pPr>
    </w:p>
    <w:p w14:paraId="3DAAFB8D" w14:textId="77777777" w:rsidR="007C5E05" w:rsidRPr="00B343CC" w:rsidRDefault="007C5E05" w:rsidP="00323AE5">
      <w:pPr>
        <w:pStyle w:val="Heading1"/>
        <w:jc w:val="both"/>
        <w:rPr>
          <w:rFonts w:ascii="Times New Roman" w:hAnsi="Times New Roman" w:cs="Times New Roman"/>
          <w:b/>
          <w:bCs/>
          <w:sz w:val="20"/>
        </w:rPr>
      </w:pPr>
    </w:p>
    <w:p w14:paraId="638131C7" w14:textId="77777777" w:rsidR="007C5E05" w:rsidRPr="00B343CC" w:rsidRDefault="007C5E05" w:rsidP="00323AE5">
      <w:pPr>
        <w:pStyle w:val="Heading1"/>
        <w:jc w:val="both"/>
        <w:rPr>
          <w:rFonts w:ascii="Times New Roman" w:hAnsi="Times New Roman" w:cs="Times New Roman"/>
          <w:sz w:val="20"/>
        </w:rPr>
      </w:pPr>
    </w:p>
    <w:p w14:paraId="6E5F8C29" w14:textId="77777777" w:rsidR="007C5E05" w:rsidRPr="00B343CC" w:rsidRDefault="007C5E05" w:rsidP="00323AE5">
      <w:pPr>
        <w:pStyle w:val="Heading1"/>
        <w:jc w:val="both"/>
        <w:rPr>
          <w:rFonts w:ascii="Times New Roman" w:hAnsi="Times New Roman" w:cs="Times New Roman"/>
          <w:sz w:val="20"/>
        </w:rPr>
      </w:pPr>
    </w:p>
    <w:p w14:paraId="6290FE2C" w14:textId="77777777" w:rsidR="007C5E05" w:rsidRPr="00B343CC" w:rsidRDefault="007C5E05" w:rsidP="00323AE5">
      <w:pPr>
        <w:pStyle w:val="Heading1"/>
        <w:jc w:val="both"/>
        <w:rPr>
          <w:rFonts w:ascii="Times New Roman" w:hAnsi="Times New Roman" w:cs="Times New Roman"/>
          <w:sz w:val="20"/>
        </w:rPr>
      </w:pPr>
    </w:p>
    <w:p w14:paraId="6F73D2CC" w14:textId="77777777" w:rsidR="007C5E05" w:rsidRPr="00B343CC" w:rsidRDefault="007C5E05" w:rsidP="00323AE5">
      <w:pPr>
        <w:bidi w:val="0"/>
        <w:jc w:val="center"/>
        <w:rPr>
          <w:rFonts w:cs="Times New Roman"/>
        </w:rPr>
      </w:pPr>
    </w:p>
    <w:p w14:paraId="496ABCC4" w14:textId="77777777" w:rsidR="007C5E05" w:rsidRPr="00B343CC" w:rsidRDefault="007C5E05" w:rsidP="00323AE5">
      <w:pPr>
        <w:bidi w:val="0"/>
        <w:jc w:val="center"/>
        <w:rPr>
          <w:rFonts w:cs="Times New Roman"/>
        </w:rPr>
      </w:pPr>
    </w:p>
    <w:p w14:paraId="1ED89155" w14:textId="77777777" w:rsidR="007C5E05" w:rsidRPr="00B343CC" w:rsidRDefault="007C5E05" w:rsidP="00323AE5">
      <w:pPr>
        <w:bidi w:val="0"/>
        <w:jc w:val="center"/>
        <w:rPr>
          <w:rFonts w:cs="Times New Roman"/>
        </w:rPr>
      </w:pPr>
    </w:p>
    <w:p w14:paraId="754C3375" w14:textId="77777777" w:rsidR="007C5E05" w:rsidRPr="00B343CC" w:rsidRDefault="007C5E05" w:rsidP="00323AE5">
      <w:pPr>
        <w:bidi w:val="0"/>
        <w:jc w:val="center"/>
        <w:rPr>
          <w:rFonts w:cs="Times New Roman"/>
        </w:rPr>
      </w:pPr>
    </w:p>
    <w:p w14:paraId="075EF795" w14:textId="77777777" w:rsidR="007C5E05" w:rsidRPr="00B343CC" w:rsidRDefault="007C5E05" w:rsidP="00323AE5">
      <w:pPr>
        <w:bidi w:val="0"/>
        <w:jc w:val="center"/>
        <w:rPr>
          <w:rFonts w:cs="Times New Roman"/>
        </w:rPr>
      </w:pPr>
    </w:p>
    <w:p w14:paraId="614CCE24" w14:textId="77777777" w:rsidR="007C5E05" w:rsidRPr="00B343CC" w:rsidRDefault="007C5E05" w:rsidP="00323AE5">
      <w:pPr>
        <w:bidi w:val="0"/>
        <w:jc w:val="center"/>
        <w:rPr>
          <w:rFonts w:cs="Times New Roman"/>
        </w:rPr>
      </w:pPr>
    </w:p>
    <w:p w14:paraId="5A8D3210" w14:textId="77777777" w:rsidR="007C5E05" w:rsidRPr="00B343CC" w:rsidRDefault="007C5E05" w:rsidP="00323AE5">
      <w:pPr>
        <w:bidi w:val="0"/>
        <w:jc w:val="center"/>
        <w:rPr>
          <w:rFonts w:cs="Times New Roman"/>
          <w:b/>
          <w:bCs/>
        </w:rPr>
      </w:pPr>
    </w:p>
    <w:p w14:paraId="75C67ABB" w14:textId="77777777" w:rsidR="007C5E05" w:rsidRPr="00B343CC" w:rsidRDefault="007C5E05" w:rsidP="00323AE5">
      <w:pPr>
        <w:bidi w:val="0"/>
        <w:jc w:val="center"/>
        <w:rPr>
          <w:rFonts w:cs="Times New Roman"/>
          <w:b/>
          <w:bCs/>
        </w:rPr>
      </w:pPr>
    </w:p>
    <w:p w14:paraId="5A5F5FDA" w14:textId="77777777" w:rsidR="007C5E05" w:rsidRPr="00B343CC" w:rsidRDefault="007C5E05" w:rsidP="00323AE5">
      <w:pPr>
        <w:bidi w:val="0"/>
        <w:jc w:val="center"/>
        <w:rPr>
          <w:rFonts w:cs="Times New Roman"/>
          <w:b/>
          <w:bCs/>
        </w:rPr>
      </w:pPr>
    </w:p>
    <w:p w14:paraId="17ED1B38" w14:textId="77777777" w:rsidR="007C5E05" w:rsidRPr="00B343CC" w:rsidRDefault="007C5E05" w:rsidP="00323AE5">
      <w:pPr>
        <w:bidi w:val="0"/>
        <w:jc w:val="center"/>
        <w:rPr>
          <w:rFonts w:cs="Times New Roman"/>
          <w:b/>
          <w:bCs/>
        </w:rPr>
      </w:pPr>
    </w:p>
    <w:p w14:paraId="7E39F1D5" w14:textId="77777777" w:rsidR="007C5E05" w:rsidRPr="00B343CC" w:rsidRDefault="007C5E05" w:rsidP="00323AE5">
      <w:pPr>
        <w:bidi w:val="0"/>
        <w:jc w:val="center"/>
        <w:rPr>
          <w:rFonts w:cs="Times New Roman"/>
          <w:b/>
          <w:bCs/>
          <w:rtl/>
          <w:lang w:val="en-AU"/>
        </w:rPr>
      </w:pPr>
    </w:p>
    <w:p w14:paraId="0FFF64F4" w14:textId="77777777" w:rsidR="007C5E05" w:rsidRPr="00B343CC" w:rsidRDefault="007C5E05" w:rsidP="00323AE5">
      <w:pPr>
        <w:bidi w:val="0"/>
        <w:jc w:val="center"/>
        <w:rPr>
          <w:rFonts w:cs="Times New Roman"/>
          <w:b/>
          <w:bCs/>
          <w:rtl/>
          <w:lang w:val="en-AU"/>
        </w:rPr>
      </w:pPr>
    </w:p>
    <w:p w14:paraId="53D09FC2" w14:textId="77777777" w:rsidR="007C5E05" w:rsidRPr="00B343CC" w:rsidRDefault="007C5E05" w:rsidP="00323AE5">
      <w:pPr>
        <w:bidi w:val="0"/>
        <w:jc w:val="center"/>
        <w:rPr>
          <w:rFonts w:cs="Times New Roman"/>
          <w:b/>
          <w:bCs/>
          <w:rtl/>
          <w:lang w:val="en-AU"/>
        </w:rPr>
      </w:pPr>
    </w:p>
    <w:p w14:paraId="058DBB62" w14:textId="77777777" w:rsidR="007C5E05" w:rsidRPr="00B343CC" w:rsidRDefault="007C5E05" w:rsidP="00323AE5">
      <w:pPr>
        <w:bidi w:val="0"/>
        <w:jc w:val="center"/>
        <w:rPr>
          <w:rFonts w:cs="Times New Roman"/>
          <w:b/>
          <w:bCs/>
          <w:rtl/>
          <w:lang w:val="en-AU"/>
        </w:rPr>
      </w:pPr>
    </w:p>
    <w:p w14:paraId="295A5347" w14:textId="77777777" w:rsidR="007C5E05" w:rsidRPr="00B343CC" w:rsidRDefault="007C5E05" w:rsidP="00323AE5">
      <w:pPr>
        <w:bidi w:val="0"/>
        <w:jc w:val="center"/>
        <w:rPr>
          <w:rFonts w:cs="Times New Roman"/>
          <w:b/>
          <w:bCs/>
          <w:rtl/>
          <w:lang w:val="en-AU"/>
        </w:rPr>
      </w:pPr>
    </w:p>
    <w:p w14:paraId="093998DF" w14:textId="77777777" w:rsidR="007C5E05" w:rsidRPr="00B343CC" w:rsidRDefault="007C5E05" w:rsidP="00323AE5">
      <w:pPr>
        <w:bidi w:val="0"/>
        <w:jc w:val="center"/>
        <w:rPr>
          <w:rFonts w:cs="Times New Roman"/>
          <w:b/>
          <w:bCs/>
          <w:rtl/>
          <w:lang w:val="en-AU"/>
        </w:rPr>
      </w:pPr>
    </w:p>
    <w:p w14:paraId="01AA60D5" w14:textId="77777777" w:rsidR="007C5E05" w:rsidRPr="00B343CC" w:rsidRDefault="007C5E05" w:rsidP="00323AE5">
      <w:pPr>
        <w:bidi w:val="0"/>
        <w:jc w:val="center"/>
        <w:rPr>
          <w:rFonts w:cs="Times New Roman"/>
          <w:b/>
          <w:bCs/>
          <w:rtl/>
          <w:lang w:val="en-AU"/>
        </w:rPr>
      </w:pPr>
    </w:p>
    <w:p w14:paraId="0051793D" w14:textId="77777777" w:rsidR="007C5E05" w:rsidRPr="00B343CC" w:rsidRDefault="007C5E05" w:rsidP="00323AE5">
      <w:pPr>
        <w:bidi w:val="0"/>
        <w:jc w:val="center"/>
        <w:rPr>
          <w:rFonts w:cs="Times New Roman"/>
          <w:b/>
          <w:bCs/>
          <w:rtl/>
          <w:lang w:val="en-AU"/>
        </w:rPr>
      </w:pPr>
    </w:p>
    <w:p w14:paraId="50A4D2EE" w14:textId="77777777" w:rsidR="007C5E05" w:rsidRPr="00B343CC" w:rsidRDefault="007C5E05" w:rsidP="00323AE5">
      <w:pPr>
        <w:bidi w:val="0"/>
        <w:jc w:val="center"/>
        <w:rPr>
          <w:rFonts w:cs="Times New Roman"/>
          <w:b/>
          <w:bCs/>
          <w:rtl/>
          <w:lang w:val="en-AU"/>
        </w:rPr>
      </w:pPr>
    </w:p>
    <w:p w14:paraId="5E3CE705" w14:textId="77777777" w:rsidR="007C5E05" w:rsidRPr="00B343CC" w:rsidRDefault="007C5E05" w:rsidP="00323AE5">
      <w:pPr>
        <w:bidi w:val="0"/>
        <w:jc w:val="center"/>
        <w:rPr>
          <w:rFonts w:cs="Times New Roman"/>
          <w:b/>
          <w:bCs/>
          <w:rtl/>
          <w:lang w:val="en-AU"/>
        </w:rPr>
      </w:pPr>
    </w:p>
    <w:p w14:paraId="61779058" w14:textId="77777777" w:rsidR="007C5E05" w:rsidRPr="00B343CC" w:rsidRDefault="007C5E05" w:rsidP="00323AE5">
      <w:pPr>
        <w:bidi w:val="0"/>
        <w:jc w:val="center"/>
        <w:rPr>
          <w:rFonts w:cs="Times New Roman"/>
          <w:b/>
          <w:bCs/>
          <w:rtl/>
          <w:lang w:val="en-AU"/>
        </w:rPr>
      </w:pPr>
    </w:p>
    <w:p w14:paraId="42E95E87" w14:textId="77777777" w:rsidR="007C5E05" w:rsidRPr="00B343CC" w:rsidRDefault="007C5E05" w:rsidP="00323AE5">
      <w:pPr>
        <w:bidi w:val="0"/>
        <w:jc w:val="center"/>
        <w:rPr>
          <w:rFonts w:cs="Times New Roman"/>
          <w:b/>
          <w:bCs/>
          <w:rtl/>
          <w:lang w:val="en-AU"/>
        </w:rPr>
      </w:pPr>
    </w:p>
    <w:p w14:paraId="0DDC43BA" w14:textId="77777777" w:rsidR="007C5E05" w:rsidRPr="00B343CC" w:rsidRDefault="007C5E05" w:rsidP="00323AE5">
      <w:pPr>
        <w:bidi w:val="0"/>
        <w:jc w:val="center"/>
        <w:rPr>
          <w:rFonts w:cs="Times New Roman"/>
          <w:b/>
          <w:bCs/>
          <w:rtl/>
          <w:lang w:val="en-AU"/>
        </w:rPr>
      </w:pPr>
    </w:p>
    <w:p w14:paraId="561EF283" w14:textId="77777777" w:rsidR="007C5E05" w:rsidRPr="00B343CC" w:rsidRDefault="007C5E05" w:rsidP="00323AE5">
      <w:pPr>
        <w:bidi w:val="0"/>
        <w:jc w:val="center"/>
        <w:rPr>
          <w:rFonts w:cs="Times New Roman"/>
          <w:b/>
          <w:bCs/>
          <w:rtl/>
          <w:lang w:val="en-AU"/>
        </w:rPr>
      </w:pPr>
    </w:p>
    <w:p w14:paraId="7C4A716A" w14:textId="77777777" w:rsidR="007C5E05" w:rsidRPr="00B343CC" w:rsidRDefault="007C5E05" w:rsidP="00323AE5">
      <w:pPr>
        <w:bidi w:val="0"/>
        <w:jc w:val="center"/>
        <w:rPr>
          <w:rFonts w:cs="Times New Roman"/>
          <w:b/>
          <w:bCs/>
          <w:rtl/>
          <w:lang w:val="en-AU"/>
        </w:rPr>
      </w:pPr>
    </w:p>
    <w:p w14:paraId="4EEDE9F1" w14:textId="77777777" w:rsidR="007C5E05" w:rsidRPr="00B343CC" w:rsidRDefault="007C5E05" w:rsidP="00323AE5">
      <w:pPr>
        <w:bidi w:val="0"/>
        <w:jc w:val="center"/>
        <w:rPr>
          <w:rFonts w:cs="Times New Roman"/>
          <w:b/>
          <w:bCs/>
          <w:rtl/>
          <w:lang w:val="en-AU"/>
        </w:rPr>
      </w:pPr>
    </w:p>
    <w:p w14:paraId="183494E6" w14:textId="77777777" w:rsidR="007C5E05" w:rsidRPr="00B343CC" w:rsidRDefault="007C5E05" w:rsidP="00323AE5">
      <w:pPr>
        <w:bidi w:val="0"/>
        <w:jc w:val="center"/>
        <w:rPr>
          <w:rFonts w:cs="Times New Roman"/>
          <w:b/>
          <w:bCs/>
          <w:rtl/>
          <w:lang w:val="en-AU"/>
        </w:rPr>
      </w:pPr>
    </w:p>
    <w:p w14:paraId="344106EF" w14:textId="77777777" w:rsidR="007C5E05" w:rsidRPr="00B343CC" w:rsidRDefault="007C5E05" w:rsidP="00323AE5">
      <w:pPr>
        <w:bidi w:val="0"/>
        <w:jc w:val="center"/>
        <w:rPr>
          <w:rFonts w:cs="Times New Roman"/>
          <w:b/>
          <w:bCs/>
          <w:rtl/>
          <w:lang w:val="en-AU"/>
        </w:rPr>
      </w:pPr>
    </w:p>
    <w:p w14:paraId="3DB3CE53" w14:textId="77777777" w:rsidR="007C5E05" w:rsidRPr="00B343CC" w:rsidRDefault="007C5E05" w:rsidP="00323AE5">
      <w:pPr>
        <w:bidi w:val="0"/>
        <w:jc w:val="center"/>
        <w:rPr>
          <w:rFonts w:cs="Times New Roman"/>
          <w:b/>
          <w:bCs/>
          <w:rtl/>
          <w:lang w:val="en-AU"/>
        </w:rPr>
      </w:pPr>
    </w:p>
    <w:p w14:paraId="35FF1547" w14:textId="77777777" w:rsidR="007C5E05" w:rsidRPr="00B343CC" w:rsidRDefault="007C5E05" w:rsidP="00323AE5">
      <w:pPr>
        <w:bidi w:val="0"/>
        <w:jc w:val="center"/>
        <w:rPr>
          <w:rFonts w:cs="Times New Roman"/>
          <w:b/>
          <w:bCs/>
          <w:rtl/>
          <w:lang w:val="en-AU"/>
        </w:rPr>
      </w:pPr>
    </w:p>
    <w:p w14:paraId="15E01771" w14:textId="77777777" w:rsidR="007C5E05" w:rsidRPr="00B343CC" w:rsidRDefault="007C5E05" w:rsidP="00323AE5">
      <w:pPr>
        <w:bidi w:val="0"/>
        <w:jc w:val="center"/>
        <w:rPr>
          <w:rFonts w:cs="Times New Roman"/>
          <w:b/>
          <w:bCs/>
          <w:rtl/>
          <w:lang w:val="en-AU"/>
        </w:rPr>
      </w:pPr>
    </w:p>
    <w:p w14:paraId="50F00AF0" w14:textId="77777777" w:rsidR="007C5E05" w:rsidRPr="00B343CC" w:rsidRDefault="007C5E05" w:rsidP="00323AE5">
      <w:pPr>
        <w:bidi w:val="0"/>
        <w:jc w:val="center"/>
        <w:rPr>
          <w:rFonts w:cs="Times New Roman"/>
          <w:b/>
          <w:bCs/>
          <w:rtl/>
          <w:lang w:val="en-AU"/>
        </w:rPr>
      </w:pPr>
    </w:p>
    <w:p w14:paraId="23E07E91" w14:textId="77777777" w:rsidR="007C5E05" w:rsidRPr="00B343CC" w:rsidRDefault="007C5E05" w:rsidP="00323AE5">
      <w:pPr>
        <w:bidi w:val="0"/>
        <w:jc w:val="center"/>
        <w:rPr>
          <w:rFonts w:cs="Times New Roman"/>
          <w:b/>
          <w:bCs/>
          <w:rtl/>
          <w:lang w:val="en-AU"/>
        </w:rPr>
      </w:pPr>
    </w:p>
    <w:p w14:paraId="7664514C" w14:textId="77777777" w:rsidR="007C5E05" w:rsidRPr="00B343CC" w:rsidRDefault="007C5E05" w:rsidP="00323AE5">
      <w:pPr>
        <w:bidi w:val="0"/>
        <w:jc w:val="center"/>
        <w:rPr>
          <w:rFonts w:cs="Times New Roman"/>
          <w:b/>
          <w:bCs/>
          <w:rtl/>
          <w:lang w:val="en-AU"/>
        </w:rPr>
      </w:pPr>
    </w:p>
    <w:p w14:paraId="018FBB89" w14:textId="77777777" w:rsidR="007C5E05" w:rsidRPr="00B343CC" w:rsidRDefault="007C5E05" w:rsidP="00323AE5">
      <w:pPr>
        <w:bidi w:val="0"/>
        <w:jc w:val="center"/>
        <w:rPr>
          <w:rFonts w:cs="Times New Roman"/>
          <w:b/>
          <w:bCs/>
          <w:rtl/>
          <w:lang w:val="en-AU"/>
        </w:rPr>
      </w:pPr>
    </w:p>
    <w:p w14:paraId="021A320B" w14:textId="77777777" w:rsidR="007C5E05" w:rsidRPr="00B343CC" w:rsidRDefault="007C5E05" w:rsidP="00323AE5">
      <w:pPr>
        <w:bidi w:val="0"/>
        <w:jc w:val="center"/>
        <w:rPr>
          <w:rFonts w:cs="Times New Roman"/>
          <w:b/>
          <w:bCs/>
          <w:rtl/>
          <w:lang w:val="en-AU"/>
        </w:rPr>
      </w:pPr>
    </w:p>
    <w:p w14:paraId="41FE771C" w14:textId="77777777" w:rsidR="007C5E05" w:rsidRPr="00B343CC" w:rsidRDefault="007C5E05" w:rsidP="00323AE5">
      <w:pPr>
        <w:bidi w:val="0"/>
        <w:jc w:val="center"/>
        <w:rPr>
          <w:rFonts w:cs="Times New Roman"/>
          <w:b/>
          <w:bCs/>
          <w:lang w:val="en-AU"/>
        </w:rPr>
      </w:pPr>
    </w:p>
    <w:p w14:paraId="5A2C4B77" w14:textId="77777777" w:rsidR="007C5E05" w:rsidRPr="00B343CC" w:rsidRDefault="007C5E05" w:rsidP="00323AE5">
      <w:pPr>
        <w:bidi w:val="0"/>
        <w:jc w:val="center"/>
        <w:rPr>
          <w:rFonts w:cs="Times New Roman"/>
          <w:b/>
          <w:bCs/>
          <w:rtl/>
          <w:lang w:val="en-AU"/>
        </w:rPr>
      </w:pPr>
    </w:p>
    <w:p w14:paraId="70580119" w14:textId="77777777" w:rsidR="007C5E05" w:rsidRPr="00B343CC" w:rsidRDefault="007C5E05" w:rsidP="00323AE5">
      <w:pPr>
        <w:pStyle w:val="Heading2"/>
        <w:rPr>
          <w:rFonts w:ascii="Times New Roman" w:hAnsi="Times New Roman" w:cs="Times New Roman"/>
          <w:sz w:val="20"/>
        </w:rPr>
      </w:pPr>
    </w:p>
    <w:p w14:paraId="7B2F195C" w14:textId="77777777" w:rsidR="007C5E05" w:rsidRPr="00B343CC" w:rsidRDefault="007C5E05" w:rsidP="00323AE5">
      <w:pPr>
        <w:bidi w:val="0"/>
        <w:rPr>
          <w:rFonts w:cs="Times New Roman"/>
          <w:b/>
          <w:bCs/>
        </w:rPr>
      </w:pPr>
      <w:r w:rsidRPr="00B343CC">
        <w:rPr>
          <w:rFonts w:cs="Times New Roman"/>
        </w:rPr>
        <w:br w:type="page"/>
      </w:r>
    </w:p>
    <w:p w14:paraId="58ECD33C" w14:textId="77777777" w:rsidR="007C5E05" w:rsidRPr="00B343CC" w:rsidRDefault="007C5E05" w:rsidP="00323AE5">
      <w:pPr>
        <w:pStyle w:val="Heading2"/>
        <w:rPr>
          <w:rFonts w:ascii="Times New Roman" w:hAnsi="Times New Roman" w:cs="Times New Roman"/>
          <w:sz w:val="26"/>
          <w:szCs w:val="26"/>
        </w:rPr>
      </w:pPr>
      <w:r w:rsidRPr="00B343CC">
        <w:rPr>
          <w:rFonts w:ascii="Times New Roman" w:hAnsi="Times New Roman" w:cs="Times New Roman"/>
          <w:sz w:val="26"/>
          <w:szCs w:val="26"/>
        </w:rPr>
        <w:lastRenderedPageBreak/>
        <w:t>Table of Contents</w:t>
      </w:r>
    </w:p>
    <w:p w14:paraId="10708588" w14:textId="77777777" w:rsidR="007C5E05" w:rsidRPr="00B343CC" w:rsidRDefault="007C5E05" w:rsidP="00323AE5">
      <w:pPr>
        <w:rPr>
          <w:rFonts w:cs="Times New Roman"/>
          <w:rtl/>
        </w:rPr>
      </w:pPr>
    </w:p>
    <w:tbl>
      <w:tblPr>
        <w:tblpPr w:leftFromText="181" w:rightFromText="181" w:vertAnchor="text" w:horzAnchor="page" w:tblpXSpec="center" w:tblpY="1"/>
        <w:tblOverlap w:val="never"/>
        <w:tblW w:w="7371" w:type="dxa"/>
        <w:tblLayout w:type="fixed"/>
        <w:tblLook w:val="0000" w:firstRow="0" w:lastRow="0" w:firstColumn="0" w:lastColumn="0" w:noHBand="0" w:noVBand="0"/>
      </w:tblPr>
      <w:tblGrid>
        <w:gridCol w:w="1364"/>
        <w:gridCol w:w="5287"/>
        <w:gridCol w:w="720"/>
      </w:tblGrid>
      <w:tr w:rsidR="00B05766" w:rsidRPr="00B343CC" w14:paraId="3F14DF70" w14:textId="77777777" w:rsidTr="0066227C">
        <w:trPr>
          <w:cantSplit/>
          <w:trHeight w:val="138"/>
          <w:tblHeader/>
        </w:trPr>
        <w:tc>
          <w:tcPr>
            <w:tcW w:w="7294" w:type="dxa"/>
            <w:gridSpan w:val="2"/>
            <w:vAlign w:val="center"/>
          </w:tcPr>
          <w:p w14:paraId="47BF78FD" w14:textId="77777777" w:rsidR="007C5E05" w:rsidRPr="00B343CC" w:rsidRDefault="007C5E05" w:rsidP="00323AE5">
            <w:pPr>
              <w:bidi w:val="0"/>
              <w:rPr>
                <w:rFonts w:cs="Times New Roman"/>
                <w:b/>
                <w:bCs/>
              </w:rPr>
            </w:pPr>
          </w:p>
        </w:tc>
        <w:tc>
          <w:tcPr>
            <w:tcW w:w="770" w:type="dxa"/>
            <w:vAlign w:val="center"/>
          </w:tcPr>
          <w:p w14:paraId="17915FCC" w14:textId="77777777" w:rsidR="007C5E05" w:rsidRPr="00B343CC" w:rsidRDefault="007C5E05" w:rsidP="00323AE5">
            <w:pPr>
              <w:bidi w:val="0"/>
              <w:jc w:val="lowKashida"/>
              <w:rPr>
                <w:rFonts w:cs="Times New Roman"/>
                <w:b/>
                <w:bCs/>
              </w:rPr>
            </w:pPr>
          </w:p>
        </w:tc>
      </w:tr>
      <w:tr w:rsidR="00B05766" w:rsidRPr="00B343CC" w14:paraId="17D7E460" w14:textId="77777777" w:rsidTr="0066227C">
        <w:trPr>
          <w:cantSplit/>
          <w:trHeight w:val="182"/>
          <w:tblHeader/>
        </w:trPr>
        <w:tc>
          <w:tcPr>
            <w:tcW w:w="7294" w:type="dxa"/>
            <w:gridSpan w:val="2"/>
            <w:vAlign w:val="center"/>
          </w:tcPr>
          <w:p w14:paraId="1ECCACB9" w14:textId="77777777" w:rsidR="007C5E05" w:rsidRPr="00B343CC" w:rsidRDefault="007C5E05" w:rsidP="00323AE5">
            <w:pPr>
              <w:bidi w:val="0"/>
              <w:rPr>
                <w:rFonts w:cs="Times New Roman"/>
                <w:b/>
                <w:bCs/>
              </w:rPr>
            </w:pPr>
            <w:r w:rsidRPr="00B343CC">
              <w:rPr>
                <w:rFonts w:cs="Times New Roman"/>
                <w:b/>
                <w:bCs/>
              </w:rPr>
              <w:t>Subject</w:t>
            </w:r>
          </w:p>
        </w:tc>
        <w:tc>
          <w:tcPr>
            <w:tcW w:w="770" w:type="dxa"/>
            <w:vAlign w:val="center"/>
          </w:tcPr>
          <w:p w14:paraId="2D0AF14D" w14:textId="77777777" w:rsidR="007C5E05" w:rsidRPr="00B343CC" w:rsidRDefault="007C5E05" w:rsidP="00323AE5">
            <w:pPr>
              <w:bidi w:val="0"/>
              <w:jc w:val="right"/>
              <w:rPr>
                <w:rFonts w:cs="Times New Roman"/>
                <w:b/>
                <w:bCs/>
              </w:rPr>
            </w:pPr>
            <w:r w:rsidRPr="00B343CC">
              <w:rPr>
                <w:rFonts w:cs="Times New Roman"/>
                <w:b/>
                <w:bCs/>
              </w:rPr>
              <w:t>Page</w:t>
            </w:r>
          </w:p>
        </w:tc>
      </w:tr>
      <w:tr w:rsidR="00B05766" w:rsidRPr="00B343CC" w14:paraId="197B6E02" w14:textId="77777777" w:rsidTr="0066227C">
        <w:trPr>
          <w:cantSplit/>
          <w:trHeight w:hRule="exact" w:val="187"/>
        </w:trPr>
        <w:tc>
          <w:tcPr>
            <w:tcW w:w="7294" w:type="dxa"/>
            <w:gridSpan w:val="2"/>
            <w:vAlign w:val="center"/>
          </w:tcPr>
          <w:p w14:paraId="506102B4" w14:textId="77777777" w:rsidR="007C5E05" w:rsidRPr="00B343CC" w:rsidRDefault="007C5E05" w:rsidP="00323AE5">
            <w:pPr>
              <w:bidi w:val="0"/>
              <w:rPr>
                <w:rFonts w:cs="Times New Roman"/>
                <w:b/>
                <w:bCs/>
              </w:rPr>
            </w:pPr>
          </w:p>
        </w:tc>
        <w:tc>
          <w:tcPr>
            <w:tcW w:w="770" w:type="dxa"/>
            <w:vAlign w:val="center"/>
          </w:tcPr>
          <w:p w14:paraId="34B18656" w14:textId="77777777" w:rsidR="007C5E05" w:rsidRPr="00B343CC" w:rsidRDefault="007C5E05" w:rsidP="00323AE5">
            <w:pPr>
              <w:bidi w:val="0"/>
              <w:jc w:val="lowKashida"/>
              <w:rPr>
                <w:rFonts w:cs="Times New Roman"/>
                <w:b/>
                <w:bCs/>
              </w:rPr>
            </w:pPr>
          </w:p>
        </w:tc>
      </w:tr>
      <w:tr w:rsidR="00B05766" w:rsidRPr="00B343CC" w14:paraId="7DCCFD3B" w14:textId="77777777" w:rsidTr="0066227C">
        <w:trPr>
          <w:cantSplit/>
          <w:trHeight w:hRule="exact" w:val="238"/>
        </w:trPr>
        <w:tc>
          <w:tcPr>
            <w:tcW w:w="7294" w:type="dxa"/>
            <w:gridSpan w:val="2"/>
            <w:vAlign w:val="center"/>
          </w:tcPr>
          <w:p w14:paraId="2F37F142" w14:textId="77777777" w:rsidR="007C5E05" w:rsidRPr="00B343CC" w:rsidRDefault="007C5E05" w:rsidP="00323AE5">
            <w:pPr>
              <w:bidi w:val="0"/>
              <w:rPr>
                <w:rFonts w:cs="Times New Roman"/>
                <w:b/>
                <w:bCs/>
              </w:rPr>
            </w:pPr>
            <w:r w:rsidRPr="00B343CC">
              <w:rPr>
                <w:rFonts w:cs="Times New Roman"/>
                <w:b/>
                <w:bCs/>
              </w:rPr>
              <w:t>Preface</w:t>
            </w:r>
          </w:p>
          <w:p w14:paraId="102F431A" w14:textId="77777777" w:rsidR="007C5E05" w:rsidRPr="00B343CC" w:rsidRDefault="007C5E05" w:rsidP="00323AE5">
            <w:pPr>
              <w:bidi w:val="0"/>
              <w:rPr>
                <w:rFonts w:cs="Times New Roman"/>
                <w:b/>
                <w:bCs/>
              </w:rPr>
            </w:pPr>
          </w:p>
        </w:tc>
        <w:tc>
          <w:tcPr>
            <w:tcW w:w="770" w:type="dxa"/>
            <w:vAlign w:val="center"/>
          </w:tcPr>
          <w:p w14:paraId="002DF2EC" w14:textId="77777777" w:rsidR="007C5E05" w:rsidRPr="00B343CC" w:rsidRDefault="007C5E05" w:rsidP="00323AE5">
            <w:pPr>
              <w:bidi w:val="0"/>
              <w:jc w:val="lowKashida"/>
              <w:rPr>
                <w:rFonts w:cs="Times New Roman"/>
                <w:b/>
                <w:bCs/>
              </w:rPr>
            </w:pPr>
          </w:p>
        </w:tc>
      </w:tr>
      <w:tr w:rsidR="00B05766" w:rsidRPr="00B343CC" w14:paraId="6029902B" w14:textId="77777777" w:rsidTr="0066227C">
        <w:trPr>
          <w:cantSplit/>
          <w:trHeight w:hRule="exact" w:val="157"/>
        </w:trPr>
        <w:tc>
          <w:tcPr>
            <w:tcW w:w="7294" w:type="dxa"/>
            <w:gridSpan w:val="2"/>
            <w:vAlign w:val="center"/>
          </w:tcPr>
          <w:p w14:paraId="3C1BB4CD" w14:textId="77777777" w:rsidR="007C5E05" w:rsidRPr="00B343CC" w:rsidRDefault="007C5E05" w:rsidP="00323AE5">
            <w:pPr>
              <w:bidi w:val="0"/>
              <w:rPr>
                <w:rFonts w:cs="Times New Roman"/>
                <w:b/>
                <w:bCs/>
              </w:rPr>
            </w:pPr>
          </w:p>
        </w:tc>
        <w:tc>
          <w:tcPr>
            <w:tcW w:w="770" w:type="dxa"/>
            <w:vAlign w:val="center"/>
          </w:tcPr>
          <w:p w14:paraId="0DF3E1C9" w14:textId="77777777" w:rsidR="007C5E05" w:rsidRPr="00B343CC" w:rsidRDefault="007C5E05" w:rsidP="00323AE5">
            <w:pPr>
              <w:bidi w:val="0"/>
              <w:jc w:val="lowKashida"/>
              <w:rPr>
                <w:rFonts w:cs="Times New Roman"/>
                <w:b/>
                <w:bCs/>
              </w:rPr>
            </w:pPr>
          </w:p>
        </w:tc>
      </w:tr>
      <w:tr w:rsidR="00B05766" w:rsidRPr="00B343CC" w14:paraId="2E0620C7" w14:textId="77777777" w:rsidTr="0066227C">
        <w:trPr>
          <w:cantSplit/>
          <w:trHeight w:hRule="exact" w:val="227"/>
        </w:trPr>
        <w:tc>
          <w:tcPr>
            <w:tcW w:w="7294" w:type="dxa"/>
            <w:gridSpan w:val="2"/>
            <w:vAlign w:val="center"/>
          </w:tcPr>
          <w:p w14:paraId="358CABA5" w14:textId="77777777" w:rsidR="007C5E05" w:rsidRPr="00B343CC" w:rsidRDefault="007C5E05" w:rsidP="00323AE5">
            <w:pPr>
              <w:bidi w:val="0"/>
              <w:rPr>
                <w:rFonts w:cs="Times New Roman"/>
                <w:b/>
                <w:bCs/>
              </w:rPr>
            </w:pPr>
            <w:r w:rsidRPr="00B343CC">
              <w:rPr>
                <w:rFonts w:cs="Times New Roman"/>
                <w:b/>
                <w:bCs/>
              </w:rPr>
              <w:t>Important  Note</w:t>
            </w:r>
          </w:p>
          <w:p w14:paraId="70A1B39A" w14:textId="77777777" w:rsidR="007C5E05" w:rsidRPr="00B343CC" w:rsidRDefault="007C5E05" w:rsidP="00323AE5">
            <w:pPr>
              <w:bidi w:val="0"/>
              <w:rPr>
                <w:rFonts w:cs="Times New Roman"/>
                <w:b/>
                <w:bCs/>
              </w:rPr>
            </w:pPr>
          </w:p>
        </w:tc>
        <w:tc>
          <w:tcPr>
            <w:tcW w:w="770" w:type="dxa"/>
            <w:vAlign w:val="center"/>
          </w:tcPr>
          <w:p w14:paraId="067412E9" w14:textId="77777777" w:rsidR="007C5E05" w:rsidRPr="00B343CC" w:rsidRDefault="007C5E05" w:rsidP="00323AE5">
            <w:pPr>
              <w:bidi w:val="0"/>
              <w:jc w:val="lowKashida"/>
              <w:rPr>
                <w:rFonts w:cs="Times New Roman"/>
                <w:b/>
                <w:bCs/>
              </w:rPr>
            </w:pPr>
          </w:p>
        </w:tc>
      </w:tr>
      <w:tr w:rsidR="00B05766" w:rsidRPr="00B343CC" w14:paraId="1F4D16D9" w14:textId="77777777" w:rsidTr="0066227C">
        <w:trPr>
          <w:cantSplit/>
          <w:trHeight w:hRule="exact" w:val="149"/>
        </w:trPr>
        <w:tc>
          <w:tcPr>
            <w:tcW w:w="1482" w:type="dxa"/>
            <w:vAlign w:val="center"/>
          </w:tcPr>
          <w:p w14:paraId="3C244B9C" w14:textId="77777777" w:rsidR="007C5E05" w:rsidRPr="00B343CC" w:rsidRDefault="007C5E05" w:rsidP="00323AE5">
            <w:pPr>
              <w:bidi w:val="0"/>
              <w:rPr>
                <w:rFonts w:cs="Times New Roman"/>
                <w:b/>
                <w:bCs/>
              </w:rPr>
            </w:pPr>
          </w:p>
        </w:tc>
        <w:tc>
          <w:tcPr>
            <w:tcW w:w="5812" w:type="dxa"/>
            <w:vAlign w:val="center"/>
          </w:tcPr>
          <w:p w14:paraId="577566ED" w14:textId="77777777" w:rsidR="007C5E05" w:rsidRPr="00B343CC" w:rsidRDefault="007C5E05" w:rsidP="00323AE5">
            <w:pPr>
              <w:pStyle w:val="H1"/>
              <w:spacing w:before="0" w:after="0"/>
              <w:rPr>
                <w:noProof/>
                <w:kern w:val="0"/>
                <w:sz w:val="20"/>
                <w:szCs w:val="20"/>
              </w:rPr>
            </w:pPr>
          </w:p>
        </w:tc>
        <w:tc>
          <w:tcPr>
            <w:tcW w:w="770" w:type="dxa"/>
            <w:vAlign w:val="center"/>
          </w:tcPr>
          <w:p w14:paraId="4DFA8855" w14:textId="77777777" w:rsidR="007C5E05" w:rsidRPr="00B343CC" w:rsidRDefault="007C5E05" w:rsidP="00323AE5">
            <w:pPr>
              <w:bidi w:val="0"/>
              <w:jc w:val="right"/>
              <w:rPr>
                <w:rFonts w:cs="Times New Roman"/>
                <w:b/>
                <w:bCs/>
              </w:rPr>
            </w:pPr>
          </w:p>
        </w:tc>
      </w:tr>
      <w:tr w:rsidR="00B05766" w:rsidRPr="00B343CC" w14:paraId="5152D68F" w14:textId="77777777" w:rsidTr="0066227C">
        <w:trPr>
          <w:cantSplit/>
          <w:trHeight w:hRule="exact" w:val="275"/>
        </w:trPr>
        <w:tc>
          <w:tcPr>
            <w:tcW w:w="7294" w:type="dxa"/>
            <w:gridSpan w:val="2"/>
            <w:vAlign w:val="center"/>
          </w:tcPr>
          <w:p w14:paraId="6B7240DF" w14:textId="77777777" w:rsidR="007C5E05" w:rsidRPr="00B343CC" w:rsidRDefault="007C5E05" w:rsidP="00323AE5">
            <w:pPr>
              <w:bidi w:val="0"/>
              <w:rPr>
                <w:rFonts w:cs="Times New Roman"/>
                <w:b/>
                <w:bCs/>
              </w:rPr>
            </w:pPr>
            <w:r w:rsidRPr="00B343CC">
              <w:rPr>
                <w:rFonts w:cs="Times New Roman"/>
                <w:b/>
                <w:bCs/>
              </w:rPr>
              <w:t>Main Indicators</w:t>
            </w:r>
          </w:p>
        </w:tc>
        <w:tc>
          <w:tcPr>
            <w:tcW w:w="770" w:type="dxa"/>
            <w:vAlign w:val="center"/>
          </w:tcPr>
          <w:p w14:paraId="192F9424" w14:textId="77777777" w:rsidR="007C5E05" w:rsidRPr="00B343CC" w:rsidRDefault="007C5E05" w:rsidP="00323AE5">
            <w:pPr>
              <w:bidi w:val="0"/>
              <w:jc w:val="center"/>
              <w:rPr>
                <w:rFonts w:cs="Times New Roman"/>
                <w:b/>
                <w:bCs/>
              </w:rPr>
            </w:pPr>
            <w:r w:rsidRPr="00B343CC">
              <w:rPr>
                <w:rFonts w:cs="Times New Roman"/>
                <w:b/>
                <w:bCs/>
              </w:rPr>
              <w:t>[</w:t>
            </w:r>
            <w:r w:rsidRPr="00B343CC">
              <w:rPr>
                <w:rFonts w:cs="Times New Roman"/>
                <w:b/>
                <w:bCs/>
                <w:lang w:val="en-GB"/>
              </w:rPr>
              <w:t>15</w:t>
            </w:r>
            <w:r w:rsidRPr="00B343CC">
              <w:rPr>
                <w:rFonts w:cs="Times New Roman"/>
                <w:b/>
                <w:bCs/>
              </w:rPr>
              <w:t>]</w:t>
            </w:r>
          </w:p>
        </w:tc>
      </w:tr>
      <w:tr w:rsidR="00B05766" w:rsidRPr="00B343CC" w14:paraId="723712FA" w14:textId="77777777" w:rsidTr="0066227C">
        <w:trPr>
          <w:cantSplit/>
          <w:trHeight w:hRule="exact" w:val="149"/>
        </w:trPr>
        <w:tc>
          <w:tcPr>
            <w:tcW w:w="1482" w:type="dxa"/>
            <w:vAlign w:val="center"/>
          </w:tcPr>
          <w:p w14:paraId="71FE0F9A" w14:textId="77777777" w:rsidR="007C5E05" w:rsidRPr="00B343CC" w:rsidRDefault="007C5E05" w:rsidP="00323AE5">
            <w:pPr>
              <w:bidi w:val="0"/>
              <w:rPr>
                <w:rFonts w:cs="Times New Roman"/>
                <w:b/>
                <w:bCs/>
              </w:rPr>
            </w:pPr>
          </w:p>
        </w:tc>
        <w:tc>
          <w:tcPr>
            <w:tcW w:w="5812" w:type="dxa"/>
            <w:vAlign w:val="center"/>
          </w:tcPr>
          <w:p w14:paraId="3AA9771D" w14:textId="77777777" w:rsidR="007C5E05" w:rsidRPr="00B343CC" w:rsidRDefault="007C5E05" w:rsidP="00323AE5">
            <w:pPr>
              <w:bidi w:val="0"/>
              <w:rPr>
                <w:rFonts w:cs="Times New Roman"/>
                <w:b/>
                <w:bCs/>
              </w:rPr>
            </w:pPr>
          </w:p>
        </w:tc>
        <w:tc>
          <w:tcPr>
            <w:tcW w:w="770" w:type="dxa"/>
            <w:vAlign w:val="center"/>
          </w:tcPr>
          <w:p w14:paraId="124B6A3B" w14:textId="77777777" w:rsidR="007C5E05" w:rsidRPr="00B343CC" w:rsidRDefault="007C5E05" w:rsidP="00323AE5">
            <w:pPr>
              <w:bidi w:val="0"/>
              <w:rPr>
                <w:rFonts w:cs="Times New Roman"/>
                <w:b/>
                <w:bCs/>
              </w:rPr>
            </w:pPr>
          </w:p>
        </w:tc>
      </w:tr>
      <w:tr w:rsidR="00B05766" w:rsidRPr="00B343CC" w14:paraId="2E89C472" w14:textId="77777777" w:rsidTr="0066227C">
        <w:trPr>
          <w:cantSplit/>
          <w:trHeight w:hRule="exact" w:val="281"/>
        </w:trPr>
        <w:tc>
          <w:tcPr>
            <w:tcW w:w="7294" w:type="dxa"/>
            <w:gridSpan w:val="2"/>
            <w:vAlign w:val="center"/>
          </w:tcPr>
          <w:p w14:paraId="45DFEDD7" w14:textId="77777777" w:rsidR="007C5E05" w:rsidRPr="00B343CC" w:rsidRDefault="007C5E05" w:rsidP="00323AE5">
            <w:pPr>
              <w:bidi w:val="0"/>
              <w:rPr>
                <w:rFonts w:cs="Times New Roman"/>
                <w:b/>
                <w:bCs/>
              </w:rPr>
            </w:pPr>
            <w:r w:rsidRPr="00B343CC">
              <w:rPr>
                <w:rFonts w:cs="Times New Roman"/>
                <w:b/>
                <w:bCs/>
              </w:rPr>
              <w:t>General Information on Palestine</w:t>
            </w:r>
          </w:p>
        </w:tc>
        <w:tc>
          <w:tcPr>
            <w:tcW w:w="770" w:type="dxa"/>
            <w:vAlign w:val="center"/>
          </w:tcPr>
          <w:p w14:paraId="3AB43609" w14:textId="77777777" w:rsidR="007C5E05" w:rsidRPr="00B343CC" w:rsidRDefault="007C5E05" w:rsidP="00323AE5">
            <w:pPr>
              <w:bidi w:val="0"/>
              <w:jc w:val="center"/>
              <w:rPr>
                <w:rFonts w:cs="Times New Roman"/>
                <w:b/>
                <w:bCs/>
              </w:rPr>
            </w:pPr>
            <w:r w:rsidRPr="00B343CC">
              <w:rPr>
                <w:rFonts w:cs="Times New Roman"/>
                <w:b/>
                <w:bCs/>
              </w:rPr>
              <w:t>[</w:t>
            </w:r>
            <w:r w:rsidRPr="00B343CC">
              <w:rPr>
                <w:rFonts w:cs="Times New Roman"/>
                <w:b/>
                <w:bCs/>
                <w:lang w:val="en-GB"/>
              </w:rPr>
              <w:t>19</w:t>
            </w:r>
            <w:r w:rsidRPr="00B343CC">
              <w:rPr>
                <w:rFonts w:cs="Times New Roman"/>
                <w:b/>
                <w:bCs/>
              </w:rPr>
              <w:t>]</w:t>
            </w:r>
          </w:p>
        </w:tc>
      </w:tr>
      <w:tr w:rsidR="00B05766" w:rsidRPr="00B343CC" w14:paraId="034C1D33" w14:textId="77777777" w:rsidTr="0066227C">
        <w:trPr>
          <w:cantSplit/>
          <w:trHeight w:hRule="exact" w:val="149"/>
        </w:trPr>
        <w:tc>
          <w:tcPr>
            <w:tcW w:w="1482" w:type="dxa"/>
            <w:vAlign w:val="center"/>
          </w:tcPr>
          <w:p w14:paraId="764226B2" w14:textId="77777777" w:rsidR="007C5E05" w:rsidRPr="00B343CC" w:rsidRDefault="007C5E05" w:rsidP="00323AE5">
            <w:pPr>
              <w:bidi w:val="0"/>
              <w:rPr>
                <w:rFonts w:cs="Times New Roman"/>
                <w:b/>
                <w:bCs/>
              </w:rPr>
            </w:pPr>
          </w:p>
        </w:tc>
        <w:tc>
          <w:tcPr>
            <w:tcW w:w="5812" w:type="dxa"/>
            <w:vAlign w:val="center"/>
          </w:tcPr>
          <w:p w14:paraId="62D38056" w14:textId="77777777" w:rsidR="007C5E05" w:rsidRPr="00B343CC" w:rsidRDefault="007C5E05" w:rsidP="00323AE5">
            <w:pPr>
              <w:pStyle w:val="H1"/>
              <w:spacing w:before="0" w:after="0"/>
              <w:rPr>
                <w:noProof/>
                <w:kern w:val="0"/>
                <w:sz w:val="20"/>
                <w:szCs w:val="20"/>
              </w:rPr>
            </w:pPr>
          </w:p>
        </w:tc>
        <w:tc>
          <w:tcPr>
            <w:tcW w:w="770" w:type="dxa"/>
            <w:vAlign w:val="center"/>
          </w:tcPr>
          <w:p w14:paraId="66EF3EE1" w14:textId="77777777" w:rsidR="007C5E05" w:rsidRPr="00B343CC" w:rsidRDefault="007C5E05" w:rsidP="00323AE5">
            <w:pPr>
              <w:bidi w:val="0"/>
              <w:jc w:val="right"/>
              <w:rPr>
                <w:rFonts w:cs="Times New Roman"/>
                <w:b/>
                <w:bCs/>
              </w:rPr>
            </w:pPr>
          </w:p>
        </w:tc>
      </w:tr>
      <w:tr w:rsidR="00B05766" w:rsidRPr="00B343CC" w14:paraId="0001AB80" w14:textId="77777777" w:rsidTr="0066227C">
        <w:trPr>
          <w:cantSplit/>
          <w:trHeight w:hRule="exact" w:val="273"/>
        </w:trPr>
        <w:tc>
          <w:tcPr>
            <w:tcW w:w="1482" w:type="dxa"/>
            <w:vAlign w:val="center"/>
          </w:tcPr>
          <w:p w14:paraId="1A08F0BE" w14:textId="77777777" w:rsidR="007C5E05" w:rsidRPr="00B343CC" w:rsidRDefault="007C5E05" w:rsidP="00323AE5">
            <w:pPr>
              <w:bidi w:val="0"/>
              <w:rPr>
                <w:rFonts w:cs="Times New Roman"/>
                <w:b/>
                <w:bCs/>
              </w:rPr>
            </w:pPr>
            <w:r w:rsidRPr="00B343CC">
              <w:rPr>
                <w:rFonts w:cs="Times New Roman"/>
                <w:b/>
                <w:bCs/>
              </w:rPr>
              <w:t>Summary</w:t>
            </w:r>
          </w:p>
        </w:tc>
        <w:tc>
          <w:tcPr>
            <w:tcW w:w="5812" w:type="dxa"/>
            <w:vAlign w:val="center"/>
          </w:tcPr>
          <w:p w14:paraId="640859E1" w14:textId="77777777" w:rsidR="007C5E05" w:rsidRPr="00B343CC" w:rsidRDefault="007C5E05" w:rsidP="00323AE5">
            <w:pPr>
              <w:bidi w:val="0"/>
              <w:rPr>
                <w:rFonts w:cs="Times New Roman"/>
                <w:b/>
                <w:bCs/>
              </w:rPr>
            </w:pPr>
          </w:p>
        </w:tc>
        <w:tc>
          <w:tcPr>
            <w:tcW w:w="770" w:type="dxa"/>
            <w:vAlign w:val="center"/>
          </w:tcPr>
          <w:p w14:paraId="2F6CE7B4" w14:textId="77777777" w:rsidR="007C5E05" w:rsidRPr="00B343CC" w:rsidRDefault="007C5E05" w:rsidP="00323AE5">
            <w:pPr>
              <w:bidi w:val="0"/>
              <w:jc w:val="center"/>
              <w:rPr>
                <w:rFonts w:cs="Times New Roman"/>
                <w:b/>
                <w:bCs/>
              </w:rPr>
            </w:pPr>
            <w:r w:rsidRPr="00B343CC">
              <w:rPr>
                <w:rFonts w:cs="Times New Roman"/>
                <w:b/>
                <w:bCs/>
              </w:rPr>
              <w:t>[</w:t>
            </w:r>
            <w:r w:rsidRPr="00B343CC">
              <w:rPr>
                <w:rFonts w:cs="Times New Roman" w:hint="cs"/>
                <w:b/>
                <w:bCs/>
                <w:rtl/>
                <w:lang w:val="en-GB"/>
              </w:rPr>
              <w:t>21</w:t>
            </w:r>
            <w:r w:rsidRPr="00B343CC">
              <w:rPr>
                <w:rFonts w:cs="Times New Roman"/>
                <w:b/>
                <w:bCs/>
              </w:rPr>
              <w:t>]</w:t>
            </w:r>
          </w:p>
        </w:tc>
      </w:tr>
      <w:tr w:rsidR="00B05766" w:rsidRPr="00B343CC" w14:paraId="4B2BCFB1" w14:textId="77777777" w:rsidTr="0066227C">
        <w:trPr>
          <w:cantSplit/>
          <w:trHeight w:hRule="exact" w:val="149"/>
        </w:trPr>
        <w:tc>
          <w:tcPr>
            <w:tcW w:w="1482" w:type="dxa"/>
            <w:vAlign w:val="center"/>
          </w:tcPr>
          <w:p w14:paraId="5B1D0F70" w14:textId="77777777" w:rsidR="007C5E05" w:rsidRPr="00B343CC" w:rsidRDefault="007C5E05" w:rsidP="00323AE5">
            <w:pPr>
              <w:bidi w:val="0"/>
              <w:rPr>
                <w:rFonts w:cs="Times New Roman"/>
                <w:b/>
                <w:bCs/>
              </w:rPr>
            </w:pPr>
          </w:p>
        </w:tc>
        <w:tc>
          <w:tcPr>
            <w:tcW w:w="5812" w:type="dxa"/>
            <w:vAlign w:val="center"/>
          </w:tcPr>
          <w:p w14:paraId="04E60F8A" w14:textId="77777777" w:rsidR="007C5E05" w:rsidRPr="00B343CC" w:rsidRDefault="007C5E05" w:rsidP="00323AE5">
            <w:pPr>
              <w:pStyle w:val="H1"/>
              <w:spacing w:before="0" w:after="0"/>
              <w:rPr>
                <w:noProof/>
                <w:kern w:val="0"/>
                <w:sz w:val="20"/>
                <w:szCs w:val="20"/>
              </w:rPr>
            </w:pPr>
          </w:p>
        </w:tc>
        <w:tc>
          <w:tcPr>
            <w:tcW w:w="770" w:type="dxa"/>
            <w:vAlign w:val="center"/>
          </w:tcPr>
          <w:p w14:paraId="08EEC5ED" w14:textId="77777777" w:rsidR="007C5E05" w:rsidRPr="00B343CC" w:rsidRDefault="007C5E05" w:rsidP="00323AE5">
            <w:pPr>
              <w:bidi w:val="0"/>
              <w:jc w:val="center"/>
              <w:rPr>
                <w:rFonts w:cs="Times New Roman"/>
                <w:b/>
                <w:bCs/>
              </w:rPr>
            </w:pPr>
          </w:p>
        </w:tc>
      </w:tr>
      <w:tr w:rsidR="00B05766" w:rsidRPr="00B343CC" w14:paraId="36561FC4" w14:textId="77777777" w:rsidTr="0066227C">
        <w:trPr>
          <w:cantSplit/>
          <w:trHeight w:val="258"/>
        </w:trPr>
        <w:tc>
          <w:tcPr>
            <w:tcW w:w="1482" w:type="dxa"/>
            <w:vAlign w:val="center"/>
          </w:tcPr>
          <w:p w14:paraId="6ACB94C9" w14:textId="77777777" w:rsidR="007C5E05" w:rsidRPr="00B343CC" w:rsidRDefault="007C5E05" w:rsidP="00323AE5">
            <w:pPr>
              <w:tabs>
                <w:tab w:val="right" w:pos="993"/>
              </w:tabs>
              <w:bidi w:val="0"/>
              <w:ind w:left="567"/>
              <w:jc w:val="right"/>
              <w:rPr>
                <w:rFonts w:cs="Times New Roman"/>
                <w:b/>
                <w:bCs/>
              </w:rPr>
            </w:pPr>
          </w:p>
        </w:tc>
        <w:tc>
          <w:tcPr>
            <w:tcW w:w="5812" w:type="dxa"/>
            <w:vAlign w:val="center"/>
          </w:tcPr>
          <w:p w14:paraId="1F17DAE8" w14:textId="77777777" w:rsidR="007C5E05" w:rsidRPr="00B343CC" w:rsidRDefault="007C5E05" w:rsidP="00323AE5">
            <w:pPr>
              <w:bidi w:val="0"/>
              <w:rPr>
                <w:rFonts w:cs="Times New Roman"/>
              </w:rPr>
            </w:pPr>
            <w:r w:rsidRPr="00B343CC">
              <w:rPr>
                <w:rFonts w:cs="Times New Roman"/>
              </w:rPr>
              <w:t>Palestinians in  State of Palestine (West Bank and Gaza Strip)</w:t>
            </w:r>
          </w:p>
        </w:tc>
        <w:tc>
          <w:tcPr>
            <w:tcW w:w="770" w:type="dxa"/>
            <w:vAlign w:val="center"/>
          </w:tcPr>
          <w:p w14:paraId="7135C1BB" w14:textId="77777777" w:rsidR="007C5E05" w:rsidRPr="00B343CC" w:rsidRDefault="007C5E05" w:rsidP="00323AE5">
            <w:pPr>
              <w:bidi w:val="0"/>
              <w:jc w:val="center"/>
              <w:rPr>
                <w:rFonts w:cs="Times New Roman"/>
                <w:b/>
                <w:bCs/>
              </w:rPr>
            </w:pPr>
            <w:r w:rsidRPr="00B343CC">
              <w:rPr>
                <w:rFonts w:cs="Times New Roman"/>
                <w:b/>
                <w:bCs/>
              </w:rPr>
              <w:t>[21]</w:t>
            </w:r>
          </w:p>
        </w:tc>
      </w:tr>
      <w:tr w:rsidR="00B05766" w:rsidRPr="00B343CC" w14:paraId="3EFCD813" w14:textId="77777777" w:rsidTr="0066227C">
        <w:trPr>
          <w:cantSplit/>
          <w:trHeight w:val="277"/>
        </w:trPr>
        <w:tc>
          <w:tcPr>
            <w:tcW w:w="1482" w:type="dxa"/>
            <w:vAlign w:val="center"/>
          </w:tcPr>
          <w:p w14:paraId="210D6D5C" w14:textId="77777777" w:rsidR="007C5E05" w:rsidRPr="00B343CC" w:rsidRDefault="007C5E05" w:rsidP="00323AE5">
            <w:pPr>
              <w:tabs>
                <w:tab w:val="right" w:pos="993"/>
              </w:tabs>
              <w:bidi w:val="0"/>
              <w:ind w:left="567"/>
              <w:jc w:val="right"/>
              <w:rPr>
                <w:rFonts w:cs="Times New Roman"/>
                <w:b/>
                <w:bCs/>
              </w:rPr>
            </w:pPr>
          </w:p>
        </w:tc>
        <w:tc>
          <w:tcPr>
            <w:tcW w:w="5812" w:type="dxa"/>
            <w:vAlign w:val="center"/>
          </w:tcPr>
          <w:p w14:paraId="1B291D05" w14:textId="230A016A" w:rsidR="007C5E05" w:rsidRPr="00B343CC" w:rsidRDefault="007C5E05" w:rsidP="002525BF">
            <w:pPr>
              <w:bidi w:val="0"/>
              <w:rPr>
                <w:rFonts w:cs="Times New Roman"/>
              </w:rPr>
            </w:pPr>
            <w:r w:rsidRPr="00B343CC">
              <w:rPr>
                <w:rFonts w:cs="Times New Roman"/>
              </w:rPr>
              <w:t>Palestinians in the Occupied Palestinian Territory in 1948</w:t>
            </w:r>
          </w:p>
        </w:tc>
        <w:tc>
          <w:tcPr>
            <w:tcW w:w="770" w:type="dxa"/>
            <w:vAlign w:val="center"/>
          </w:tcPr>
          <w:p w14:paraId="134AFDF2" w14:textId="67780AF7" w:rsidR="007C5E05" w:rsidRPr="00B343CC" w:rsidRDefault="007C5E05" w:rsidP="0029743D">
            <w:pPr>
              <w:bidi w:val="0"/>
              <w:jc w:val="center"/>
              <w:rPr>
                <w:rFonts w:cs="Times New Roman"/>
                <w:b/>
                <w:bCs/>
              </w:rPr>
            </w:pPr>
            <w:r w:rsidRPr="00B343CC">
              <w:rPr>
                <w:rFonts w:cs="Times New Roman"/>
                <w:b/>
                <w:bCs/>
              </w:rPr>
              <w:t>[4</w:t>
            </w:r>
            <w:r w:rsidR="0029743D">
              <w:rPr>
                <w:rFonts w:cs="Times New Roman"/>
                <w:b/>
                <w:bCs/>
              </w:rPr>
              <w:t>3</w:t>
            </w:r>
            <w:r w:rsidRPr="00B343CC">
              <w:rPr>
                <w:rFonts w:cs="Times New Roman"/>
                <w:b/>
                <w:bCs/>
              </w:rPr>
              <w:t>]</w:t>
            </w:r>
          </w:p>
        </w:tc>
      </w:tr>
      <w:tr w:rsidR="00B05766" w:rsidRPr="00B343CC" w14:paraId="09D25A62" w14:textId="77777777" w:rsidTr="0066227C">
        <w:trPr>
          <w:cantSplit/>
          <w:trHeight w:val="227"/>
        </w:trPr>
        <w:tc>
          <w:tcPr>
            <w:tcW w:w="1482" w:type="dxa"/>
            <w:vAlign w:val="center"/>
          </w:tcPr>
          <w:p w14:paraId="04FA1C5C" w14:textId="77777777" w:rsidR="007C5E05" w:rsidRPr="00B343CC" w:rsidRDefault="007C5E05" w:rsidP="00323AE5">
            <w:pPr>
              <w:tabs>
                <w:tab w:val="right" w:pos="993"/>
              </w:tabs>
              <w:bidi w:val="0"/>
              <w:ind w:left="567"/>
              <w:jc w:val="right"/>
              <w:rPr>
                <w:rFonts w:cs="Times New Roman"/>
                <w:b/>
                <w:bCs/>
              </w:rPr>
            </w:pPr>
          </w:p>
        </w:tc>
        <w:tc>
          <w:tcPr>
            <w:tcW w:w="5812" w:type="dxa"/>
            <w:vAlign w:val="center"/>
          </w:tcPr>
          <w:p w14:paraId="0A1EA588" w14:textId="77777777" w:rsidR="007C5E05" w:rsidRPr="00B343CC" w:rsidRDefault="007C5E05" w:rsidP="00323AE5">
            <w:pPr>
              <w:bidi w:val="0"/>
              <w:rPr>
                <w:rFonts w:cs="Times New Roman"/>
              </w:rPr>
            </w:pPr>
            <w:r w:rsidRPr="00B343CC">
              <w:rPr>
                <w:rFonts w:cs="Times New Roman"/>
              </w:rPr>
              <w:t xml:space="preserve">Palestinians in the Diaspora </w:t>
            </w:r>
          </w:p>
        </w:tc>
        <w:tc>
          <w:tcPr>
            <w:tcW w:w="770" w:type="dxa"/>
            <w:vAlign w:val="center"/>
          </w:tcPr>
          <w:p w14:paraId="54C0F70C" w14:textId="66E914D0" w:rsidR="007C5E05" w:rsidRPr="00B343CC" w:rsidRDefault="007C5E05" w:rsidP="0029743D">
            <w:pPr>
              <w:bidi w:val="0"/>
              <w:jc w:val="center"/>
              <w:rPr>
                <w:rFonts w:cs="Times New Roman"/>
                <w:b/>
                <w:bCs/>
              </w:rPr>
            </w:pPr>
            <w:r w:rsidRPr="00B343CC">
              <w:rPr>
                <w:rFonts w:cs="Times New Roman"/>
                <w:b/>
                <w:bCs/>
              </w:rPr>
              <w:t>[4</w:t>
            </w:r>
            <w:r w:rsidR="0029743D">
              <w:rPr>
                <w:rFonts w:cs="Times New Roman"/>
                <w:b/>
                <w:bCs/>
              </w:rPr>
              <w:t>5</w:t>
            </w:r>
            <w:r w:rsidRPr="00B343CC">
              <w:rPr>
                <w:rFonts w:cs="Times New Roman"/>
                <w:b/>
                <w:bCs/>
              </w:rPr>
              <w:t>]</w:t>
            </w:r>
          </w:p>
        </w:tc>
      </w:tr>
      <w:tr w:rsidR="00B05766" w:rsidRPr="00B343CC" w14:paraId="76E49FC1" w14:textId="77777777" w:rsidTr="0066227C">
        <w:trPr>
          <w:cantSplit/>
          <w:trHeight w:hRule="exact" w:val="473"/>
        </w:trPr>
        <w:tc>
          <w:tcPr>
            <w:tcW w:w="1482" w:type="dxa"/>
            <w:vAlign w:val="center"/>
          </w:tcPr>
          <w:p w14:paraId="65E21EF7" w14:textId="77777777" w:rsidR="007C5E05" w:rsidRPr="00B343CC" w:rsidRDefault="007C5E05" w:rsidP="00323AE5">
            <w:pPr>
              <w:pStyle w:val="H1"/>
              <w:spacing w:before="0" w:after="0"/>
              <w:rPr>
                <w:noProof/>
                <w:kern w:val="0"/>
                <w:sz w:val="20"/>
                <w:szCs w:val="20"/>
              </w:rPr>
            </w:pPr>
            <w:r w:rsidRPr="00B343CC">
              <w:rPr>
                <w:noProof/>
                <w:kern w:val="0"/>
                <w:sz w:val="20"/>
                <w:szCs w:val="20"/>
              </w:rPr>
              <w:t>References</w:t>
            </w:r>
          </w:p>
        </w:tc>
        <w:tc>
          <w:tcPr>
            <w:tcW w:w="5812" w:type="dxa"/>
            <w:vAlign w:val="center"/>
          </w:tcPr>
          <w:p w14:paraId="2ECAE0DE" w14:textId="77777777" w:rsidR="007C5E05" w:rsidRPr="00B343CC" w:rsidRDefault="007C5E05" w:rsidP="00323AE5">
            <w:pPr>
              <w:pStyle w:val="H1"/>
              <w:spacing w:before="0" w:after="0"/>
              <w:rPr>
                <w:noProof/>
                <w:kern w:val="0"/>
                <w:sz w:val="20"/>
                <w:szCs w:val="20"/>
              </w:rPr>
            </w:pPr>
          </w:p>
        </w:tc>
        <w:tc>
          <w:tcPr>
            <w:tcW w:w="770" w:type="dxa"/>
            <w:vAlign w:val="center"/>
          </w:tcPr>
          <w:p w14:paraId="38217725" w14:textId="5CCFBF19" w:rsidR="007C5E05" w:rsidRPr="00B343CC" w:rsidRDefault="007C5E05" w:rsidP="0029743D">
            <w:pPr>
              <w:bidi w:val="0"/>
              <w:jc w:val="center"/>
              <w:rPr>
                <w:rFonts w:cs="Times New Roman"/>
                <w:b/>
                <w:bCs/>
              </w:rPr>
            </w:pPr>
            <w:r w:rsidRPr="00B343CC">
              <w:rPr>
                <w:rFonts w:cs="Times New Roman"/>
                <w:b/>
                <w:bCs/>
              </w:rPr>
              <w:t>[4</w:t>
            </w:r>
            <w:r w:rsidR="0029743D">
              <w:rPr>
                <w:rFonts w:cs="Times New Roman"/>
                <w:b/>
                <w:bCs/>
              </w:rPr>
              <w:t>7</w:t>
            </w:r>
            <w:r w:rsidRPr="00B343CC">
              <w:rPr>
                <w:rFonts w:cs="Times New Roman"/>
                <w:b/>
                <w:bCs/>
              </w:rPr>
              <w:t>]</w:t>
            </w:r>
          </w:p>
        </w:tc>
      </w:tr>
    </w:tbl>
    <w:p w14:paraId="3BD19CBC" w14:textId="77777777" w:rsidR="007C5E05" w:rsidRPr="00B343CC" w:rsidRDefault="007C5E05" w:rsidP="00323AE5">
      <w:pPr>
        <w:jc w:val="center"/>
        <w:rPr>
          <w:rFonts w:cs="Times New Roman"/>
          <w:b/>
          <w:bCs/>
        </w:rPr>
      </w:pPr>
    </w:p>
    <w:p w14:paraId="7376A83E" w14:textId="77777777" w:rsidR="007C5E05" w:rsidRPr="00B343CC" w:rsidRDefault="007C5E05" w:rsidP="00323AE5">
      <w:pPr>
        <w:jc w:val="center"/>
        <w:rPr>
          <w:rFonts w:cs="Times New Roman"/>
          <w:b/>
          <w:bCs/>
        </w:rPr>
      </w:pPr>
    </w:p>
    <w:p w14:paraId="2A214B76" w14:textId="77777777" w:rsidR="007C5E05" w:rsidRPr="00B343CC" w:rsidRDefault="007C5E05" w:rsidP="00323AE5">
      <w:pPr>
        <w:jc w:val="center"/>
        <w:rPr>
          <w:rFonts w:cs="Times New Roman"/>
          <w:b/>
          <w:bCs/>
        </w:rPr>
      </w:pPr>
    </w:p>
    <w:p w14:paraId="5A58A7EF" w14:textId="77777777" w:rsidR="007C5E05" w:rsidRPr="00B343CC" w:rsidRDefault="007C5E05" w:rsidP="00323AE5">
      <w:pPr>
        <w:bidi w:val="0"/>
        <w:jc w:val="center"/>
        <w:rPr>
          <w:rFonts w:cs="Times New Roman"/>
          <w:b/>
          <w:bCs/>
          <w:rtl/>
        </w:rPr>
      </w:pPr>
    </w:p>
    <w:p w14:paraId="162F7343" w14:textId="77777777" w:rsidR="007C5E05" w:rsidRPr="00B343CC" w:rsidRDefault="007C5E05" w:rsidP="00323AE5">
      <w:pPr>
        <w:bidi w:val="0"/>
        <w:jc w:val="center"/>
        <w:rPr>
          <w:rFonts w:cs="Times New Roman"/>
          <w:b/>
          <w:bCs/>
          <w:rtl/>
          <w:lang w:val="en-AU"/>
        </w:rPr>
      </w:pPr>
      <w:r w:rsidRPr="00B343CC">
        <w:rPr>
          <w:rFonts w:cs="Times New Roman"/>
          <w:b/>
          <w:bCs/>
          <w:rtl/>
          <w:lang w:val="en-AU"/>
        </w:rPr>
        <w:br w:type="page"/>
      </w:r>
    </w:p>
    <w:p w14:paraId="35659959" w14:textId="77777777" w:rsidR="007C5E05" w:rsidRPr="00B343CC" w:rsidRDefault="007C5E05" w:rsidP="00323AE5">
      <w:pPr>
        <w:bidi w:val="0"/>
        <w:jc w:val="center"/>
        <w:rPr>
          <w:rFonts w:cs="Times New Roman"/>
          <w:b/>
          <w:bCs/>
        </w:rPr>
      </w:pPr>
    </w:p>
    <w:p w14:paraId="15B8B42A" w14:textId="77777777" w:rsidR="007C5E05" w:rsidRPr="00B343CC" w:rsidRDefault="007C5E05" w:rsidP="00323AE5">
      <w:pPr>
        <w:bidi w:val="0"/>
        <w:rPr>
          <w:rFonts w:cs="Times New Roman"/>
          <w:b/>
          <w:bCs/>
          <w:sz w:val="32"/>
          <w:szCs w:val="32"/>
        </w:rPr>
      </w:pPr>
      <w:r w:rsidRPr="00B343CC">
        <w:rPr>
          <w:rFonts w:cs="Times New Roman"/>
          <w:b/>
          <w:bCs/>
          <w:sz w:val="32"/>
          <w:szCs w:val="32"/>
        </w:rPr>
        <w:br w:type="page"/>
      </w:r>
    </w:p>
    <w:p w14:paraId="69E47803" w14:textId="77777777" w:rsidR="007C5E05" w:rsidRPr="00B343CC" w:rsidRDefault="007C5E05" w:rsidP="00323AE5">
      <w:pPr>
        <w:bidi w:val="0"/>
        <w:jc w:val="center"/>
        <w:rPr>
          <w:rFonts w:cs="Times New Roman"/>
          <w:b/>
          <w:bCs/>
          <w:sz w:val="32"/>
          <w:szCs w:val="32"/>
        </w:rPr>
        <w:sectPr w:rsidR="007C5E05" w:rsidRPr="00B343CC" w:rsidSect="00560C4C">
          <w:headerReference w:type="default" r:id="rId14"/>
          <w:footerReference w:type="default" r:id="rId15"/>
          <w:headerReference w:type="first" r:id="rId16"/>
          <w:endnotePr>
            <w:numFmt w:val="lowerLetter"/>
          </w:endnotePr>
          <w:pgSz w:w="9639" w:h="13608" w:code="9"/>
          <w:pgMar w:top="1134" w:right="1134" w:bottom="1134" w:left="1134" w:header="567" w:footer="567" w:gutter="0"/>
          <w:cols w:space="720"/>
          <w:titlePg/>
          <w:bidi/>
          <w:rtlGutter/>
          <w:docGrid w:linePitch="272"/>
        </w:sectPr>
      </w:pPr>
    </w:p>
    <w:p w14:paraId="7CDCF33D" w14:textId="77777777" w:rsidR="007C5E05" w:rsidRPr="00B343CC" w:rsidRDefault="007C5E05" w:rsidP="00323AE5">
      <w:pPr>
        <w:bidi w:val="0"/>
        <w:jc w:val="center"/>
        <w:rPr>
          <w:rFonts w:cs="Times New Roman"/>
          <w:b/>
          <w:bCs/>
          <w:sz w:val="26"/>
          <w:szCs w:val="26"/>
        </w:rPr>
      </w:pPr>
      <w:r w:rsidRPr="00B343CC">
        <w:rPr>
          <w:rFonts w:cs="Times New Roman"/>
          <w:b/>
          <w:bCs/>
          <w:sz w:val="26"/>
          <w:szCs w:val="26"/>
        </w:rPr>
        <w:lastRenderedPageBreak/>
        <w:t>Main Indicators</w:t>
      </w:r>
    </w:p>
    <w:p w14:paraId="436C576F" w14:textId="77777777" w:rsidR="007C5E05" w:rsidRPr="00B343CC" w:rsidRDefault="007C5E05" w:rsidP="00323AE5">
      <w:pPr>
        <w:bidi w:val="0"/>
        <w:jc w:val="center"/>
        <w:rPr>
          <w:rFonts w:cs="Times New Roman"/>
          <w:b/>
          <w:bCs/>
        </w:rPr>
      </w:pPr>
    </w:p>
    <w:p w14:paraId="2E6302EF" w14:textId="77777777" w:rsidR="007C5E05" w:rsidRPr="00B343CC" w:rsidRDefault="007C5E05" w:rsidP="00323AE5">
      <w:pPr>
        <w:bidi w:val="0"/>
        <w:jc w:val="center"/>
        <w:rPr>
          <w:rFonts w:cs="Times New Roman"/>
          <w:b/>
          <w:bCs/>
        </w:rPr>
      </w:pPr>
      <w:r w:rsidRPr="00B343CC">
        <w:rPr>
          <w:rFonts w:ascii="Simplified Arabic" w:hAnsi="Simplified Arabic" w:cs="Simplified Arabic"/>
          <w:b/>
          <w:bCs/>
          <w:sz w:val="24"/>
          <w:szCs w:val="24"/>
          <w:rtl/>
        </w:rPr>
        <w:drawing>
          <wp:inline distT="0" distB="0" distL="0" distR="0" wp14:anchorId="1028761A" wp14:editId="7B476F80">
            <wp:extent cx="4678847" cy="6486673"/>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كتاب فلسطين الاحصائي السنوي 2023\فلسطين في ارقام_Page_1.jpg"/>
                    <pic:cNvPicPr preferRelativeResize="0">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4678847" cy="6486673"/>
                    </a:xfrm>
                    <a:prstGeom prst="rect">
                      <a:avLst/>
                    </a:prstGeom>
                    <a:noFill/>
                    <a:ln>
                      <a:noFill/>
                    </a:ln>
                  </pic:spPr>
                </pic:pic>
              </a:graphicData>
            </a:graphic>
          </wp:inline>
        </w:drawing>
      </w:r>
    </w:p>
    <w:p w14:paraId="27745AD9" w14:textId="77777777" w:rsidR="007C5E05" w:rsidRPr="00B343CC" w:rsidRDefault="007C5E05" w:rsidP="00323AE5">
      <w:pPr>
        <w:bidi w:val="0"/>
        <w:jc w:val="center"/>
        <w:rPr>
          <w:rFonts w:cs="Times New Roman"/>
          <w:b/>
          <w:bCs/>
        </w:rPr>
      </w:pPr>
    </w:p>
    <w:p w14:paraId="35CE105F" w14:textId="77777777" w:rsidR="007C5E05" w:rsidRPr="00B343CC" w:rsidRDefault="007C5E05" w:rsidP="00323AE5">
      <w:pPr>
        <w:bidi w:val="0"/>
        <w:jc w:val="center"/>
        <w:rPr>
          <w:rFonts w:cs="Times New Roman"/>
          <w:b/>
          <w:bCs/>
        </w:rPr>
      </w:pPr>
    </w:p>
    <w:p w14:paraId="3D56E8AD" w14:textId="77777777" w:rsidR="007C5E05" w:rsidRPr="00B343CC" w:rsidRDefault="007C5E05" w:rsidP="00323AE5">
      <w:pPr>
        <w:bidi w:val="0"/>
        <w:jc w:val="center"/>
        <w:rPr>
          <w:rFonts w:cs="Times New Roman"/>
          <w:b/>
          <w:bCs/>
        </w:rPr>
      </w:pPr>
      <w:r w:rsidRPr="00B343CC">
        <w:rPr>
          <w:rFonts w:ascii="Simplified Arabic" w:hAnsi="Simplified Arabic" w:cs="Simplified Arabic"/>
          <w:b/>
          <w:bCs/>
          <w:sz w:val="24"/>
          <w:szCs w:val="24"/>
          <w:rtl/>
        </w:rPr>
        <w:lastRenderedPageBreak/>
        <w:drawing>
          <wp:inline distT="0" distB="0" distL="0" distR="0" wp14:anchorId="7E8D7A35" wp14:editId="1F37269A">
            <wp:extent cx="4735242" cy="6159261"/>
            <wp:effectExtent l="0" t="0" r="825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كتاب فلسطين الاحصائي السنوي 2023\فلسطين في ارقام_Page_2.jpg"/>
                    <pic:cNvPicPr preferRelativeResize="0">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4749846" cy="6178257"/>
                    </a:xfrm>
                    <a:prstGeom prst="rect">
                      <a:avLst/>
                    </a:prstGeom>
                    <a:noFill/>
                    <a:ln>
                      <a:noFill/>
                    </a:ln>
                  </pic:spPr>
                </pic:pic>
              </a:graphicData>
            </a:graphic>
          </wp:inline>
        </w:drawing>
      </w:r>
    </w:p>
    <w:p w14:paraId="4A28F85C" w14:textId="77777777" w:rsidR="007C5E05" w:rsidRPr="00B343CC" w:rsidRDefault="007C5E05" w:rsidP="00323AE5">
      <w:pPr>
        <w:bidi w:val="0"/>
        <w:jc w:val="center"/>
        <w:rPr>
          <w:rFonts w:cs="Times New Roman"/>
          <w:b/>
          <w:bCs/>
        </w:rPr>
      </w:pPr>
    </w:p>
    <w:p w14:paraId="20CCAE27" w14:textId="77777777" w:rsidR="007C5E05" w:rsidRPr="00B343CC" w:rsidRDefault="007C5E05" w:rsidP="00323AE5">
      <w:pPr>
        <w:bidi w:val="0"/>
        <w:jc w:val="center"/>
        <w:rPr>
          <w:rFonts w:cs="Times New Roman"/>
          <w:b/>
          <w:bCs/>
        </w:rPr>
      </w:pPr>
    </w:p>
    <w:p w14:paraId="6741C1A4" w14:textId="77777777" w:rsidR="007C5E05" w:rsidRPr="00B343CC" w:rsidRDefault="007C5E05" w:rsidP="00323AE5">
      <w:pPr>
        <w:bidi w:val="0"/>
        <w:jc w:val="center"/>
        <w:rPr>
          <w:rFonts w:cs="Times New Roman"/>
          <w:b/>
          <w:bCs/>
        </w:rPr>
      </w:pPr>
    </w:p>
    <w:p w14:paraId="60AEA89D" w14:textId="77777777" w:rsidR="007C5E05" w:rsidRPr="00B343CC" w:rsidRDefault="007C5E05" w:rsidP="00323AE5">
      <w:pPr>
        <w:bidi w:val="0"/>
        <w:rPr>
          <w:rFonts w:cs="Times New Roman"/>
          <w:b/>
          <w:bCs/>
        </w:rPr>
      </w:pPr>
      <w:r w:rsidRPr="00B343CC">
        <w:rPr>
          <w:rFonts w:cs="Times New Roman"/>
          <w:b/>
          <w:bCs/>
        </w:rPr>
        <w:br w:type="page"/>
      </w:r>
    </w:p>
    <w:p w14:paraId="2787686D" w14:textId="77777777" w:rsidR="007C5E05" w:rsidRPr="00B343CC" w:rsidRDefault="007C5E05" w:rsidP="00323AE5">
      <w:pPr>
        <w:bidi w:val="0"/>
        <w:jc w:val="center"/>
        <w:rPr>
          <w:rFonts w:cs="Times New Roman"/>
          <w:b/>
          <w:bCs/>
          <w:rtl/>
        </w:rPr>
      </w:pPr>
    </w:p>
    <w:p w14:paraId="10BDEBD3" w14:textId="77777777" w:rsidR="007C5E05" w:rsidRPr="00B343CC" w:rsidRDefault="007C5E05" w:rsidP="00323AE5">
      <w:pPr>
        <w:bidi w:val="0"/>
        <w:jc w:val="center"/>
        <w:rPr>
          <w:rFonts w:cs="Times New Roman"/>
          <w:b/>
          <w:bCs/>
        </w:rPr>
      </w:pPr>
      <w:r w:rsidRPr="00B343CC">
        <w:rPr>
          <w:rFonts w:ascii="Simplified Arabic" w:hAnsi="Simplified Arabic" w:cs="Simplified Arabic"/>
          <w:b/>
          <w:bCs/>
          <w:sz w:val="24"/>
          <w:szCs w:val="24"/>
          <w:rtl/>
        </w:rPr>
        <w:drawing>
          <wp:inline distT="0" distB="0" distL="0" distR="0" wp14:anchorId="617ECA14" wp14:editId="0EB589FF">
            <wp:extent cx="4701396" cy="6458950"/>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كتاب فلسطين الاحصائي السنوي 2023\فلسطين في ارقام_Page_3.jpg"/>
                    <pic:cNvPicPr preferRelativeResize="0">
                      <a:picLocks noChangeAspect="1" noChangeArrowheads="1"/>
                    </pic:cNvPicPr>
                  </pic:nvPicPr>
                  <pic:blipFill rotWithShape="1">
                    <a:blip r:embed="rId19">
                      <a:extLst>
                        <a:ext uri="{28A0092B-C50C-407E-A947-70E740481C1C}">
                          <a14:useLocalDpi xmlns:a14="http://schemas.microsoft.com/office/drawing/2010/main" val="0"/>
                        </a:ext>
                      </a:extLst>
                    </a:blip>
                    <a:srcRect r="4674"/>
                    <a:stretch/>
                  </pic:blipFill>
                  <pic:spPr bwMode="auto">
                    <a:xfrm>
                      <a:off x="0" y="0"/>
                      <a:ext cx="4708708" cy="6468995"/>
                    </a:xfrm>
                    <a:prstGeom prst="rect">
                      <a:avLst/>
                    </a:prstGeom>
                    <a:noFill/>
                    <a:ln>
                      <a:noFill/>
                    </a:ln>
                    <a:extLst>
                      <a:ext uri="{53640926-AAD7-44D8-BBD7-CCE9431645EC}">
                        <a14:shadowObscured xmlns:a14="http://schemas.microsoft.com/office/drawing/2010/main"/>
                      </a:ext>
                    </a:extLst>
                  </pic:spPr>
                </pic:pic>
              </a:graphicData>
            </a:graphic>
          </wp:inline>
        </w:drawing>
      </w:r>
    </w:p>
    <w:p w14:paraId="610CC967" w14:textId="77777777" w:rsidR="007C5E05" w:rsidRPr="00B343CC" w:rsidRDefault="007C5E05" w:rsidP="00323AE5">
      <w:pPr>
        <w:bidi w:val="0"/>
        <w:rPr>
          <w:rFonts w:ascii="Simplified Arabic" w:hAnsi="Simplified Arabic" w:cs="Simplified Arabic"/>
          <w:b/>
          <w:bCs/>
          <w:sz w:val="24"/>
          <w:szCs w:val="24"/>
          <w:rtl/>
        </w:rPr>
      </w:pPr>
      <w:r w:rsidRPr="00B343CC">
        <w:rPr>
          <w:rFonts w:ascii="Simplified Arabic" w:hAnsi="Simplified Arabic" w:cs="Simplified Arabic"/>
          <w:b/>
          <w:bCs/>
          <w:sz w:val="24"/>
          <w:szCs w:val="24"/>
          <w:rtl/>
        </w:rPr>
        <w:br w:type="page"/>
      </w:r>
    </w:p>
    <w:p w14:paraId="429766C2" w14:textId="77777777" w:rsidR="007C5E05" w:rsidRPr="00B343CC" w:rsidRDefault="007C5E05" w:rsidP="00323AE5">
      <w:pPr>
        <w:bidi w:val="0"/>
        <w:jc w:val="center"/>
        <w:rPr>
          <w:rFonts w:cs="Times New Roman"/>
          <w:b/>
          <w:bCs/>
          <w:rtl/>
        </w:rPr>
      </w:pPr>
    </w:p>
    <w:p w14:paraId="454E015C" w14:textId="77777777" w:rsidR="007C5E05" w:rsidRPr="00B343CC" w:rsidRDefault="007C5E05" w:rsidP="00323AE5">
      <w:pPr>
        <w:bidi w:val="0"/>
        <w:jc w:val="center"/>
        <w:rPr>
          <w:rFonts w:cs="Times New Roman"/>
          <w:b/>
          <w:bCs/>
        </w:rPr>
      </w:pPr>
      <w:r w:rsidRPr="00B343CC">
        <w:rPr>
          <w:rFonts w:ascii="Simplified Arabic" w:hAnsi="Simplified Arabic" w:cs="Simplified Arabic"/>
          <w:b/>
          <w:bCs/>
          <w:sz w:val="24"/>
          <w:szCs w:val="24"/>
          <w:rtl/>
        </w:rPr>
        <w:drawing>
          <wp:inline distT="0" distB="0" distL="0" distR="0" wp14:anchorId="2C4937D9" wp14:editId="05AECB68">
            <wp:extent cx="4676972" cy="6623388"/>
            <wp:effectExtent l="0" t="0" r="0" b="6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كتاب فلسطين الاحصائي السنوي 2023\فلسطين في ارقام_Page_3.jpg"/>
                    <pic:cNvPicPr preferRelativeResize="0">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4676972" cy="6623388"/>
                    </a:xfrm>
                    <a:prstGeom prst="rect">
                      <a:avLst/>
                    </a:prstGeom>
                    <a:noFill/>
                    <a:ln>
                      <a:noFill/>
                    </a:ln>
                  </pic:spPr>
                </pic:pic>
              </a:graphicData>
            </a:graphic>
          </wp:inline>
        </w:drawing>
      </w:r>
    </w:p>
    <w:p w14:paraId="5C96FAF1" w14:textId="77777777" w:rsidR="007C5E05" w:rsidRPr="00B343CC" w:rsidRDefault="007C5E05" w:rsidP="00323AE5">
      <w:pPr>
        <w:bidi w:val="0"/>
        <w:jc w:val="center"/>
        <w:rPr>
          <w:rFonts w:cs="Times New Roman"/>
          <w:b/>
          <w:bCs/>
        </w:rPr>
      </w:pPr>
    </w:p>
    <w:p w14:paraId="2725C532" w14:textId="77777777" w:rsidR="007C5E05" w:rsidRPr="00B343CC" w:rsidRDefault="007C5E05" w:rsidP="00323AE5">
      <w:pPr>
        <w:bidi w:val="0"/>
        <w:jc w:val="center"/>
        <w:rPr>
          <w:rFonts w:cs="Times New Roman"/>
          <w:b/>
          <w:bCs/>
        </w:rPr>
      </w:pPr>
    </w:p>
    <w:p w14:paraId="45EC6956" w14:textId="77777777" w:rsidR="003D604A" w:rsidRPr="00B343CC" w:rsidRDefault="003D604A" w:rsidP="00323AE5">
      <w:pPr>
        <w:bidi w:val="0"/>
        <w:jc w:val="center"/>
        <w:rPr>
          <w:rFonts w:cs="Times New Roman"/>
          <w:b/>
          <w:bCs/>
          <w:sz w:val="26"/>
          <w:szCs w:val="26"/>
        </w:rPr>
        <w:sectPr w:rsidR="003D604A" w:rsidRPr="00B343CC" w:rsidSect="006B3D25">
          <w:footerReference w:type="default" r:id="rId21"/>
          <w:endnotePr>
            <w:numFmt w:val="lowerLetter"/>
          </w:endnotePr>
          <w:pgSz w:w="9639" w:h="13608" w:code="9"/>
          <w:pgMar w:top="1134" w:right="1134" w:bottom="1134" w:left="1134" w:header="567" w:footer="567" w:gutter="0"/>
          <w:cols w:space="720"/>
          <w:bidi/>
          <w:rtlGutter/>
          <w:docGrid w:linePitch="272"/>
        </w:sectPr>
      </w:pPr>
    </w:p>
    <w:p w14:paraId="6F0ADA3D" w14:textId="5C3705F5" w:rsidR="007C5E05" w:rsidRPr="00B343CC" w:rsidRDefault="007C5E05" w:rsidP="00323AE5">
      <w:pPr>
        <w:bidi w:val="0"/>
        <w:jc w:val="center"/>
        <w:rPr>
          <w:rFonts w:cs="Times New Roman"/>
          <w:b/>
          <w:bCs/>
          <w:sz w:val="26"/>
          <w:szCs w:val="26"/>
        </w:rPr>
      </w:pPr>
      <w:r w:rsidRPr="00B343CC">
        <w:rPr>
          <w:rFonts w:cs="Times New Roman"/>
          <w:b/>
          <w:bCs/>
          <w:sz w:val="26"/>
          <w:szCs w:val="26"/>
        </w:rPr>
        <w:lastRenderedPageBreak/>
        <w:t>General Information on Palestine</w:t>
      </w:r>
    </w:p>
    <w:p w14:paraId="0E635684" w14:textId="77777777" w:rsidR="007C5E05" w:rsidRPr="00B343CC" w:rsidRDefault="007C5E05" w:rsidP="00323AE5">
      <w:pPr>
        <w:bidi w:val="0"/>
        <w:jc w:val="center"/>
        <w:rPr>
          <w:rFonts w:cs="Times New Roman"/>
          <w:b/>
          <w:bCs/>
        </w:rPr>
      </w:pPr>
    </w:p>
    <w:p w14:paraId="13FABF47" w14:textId="77777777" w:rsidR="007C5E05" w:rsidRPr="00B343CC" w:rsidRDefault="007C5E05" w:rsidP="00323AE5">
      <w:pPr>
        <w:bidi w:val="0"/>
        <w:jc w:val="both"/>
        <w:rPr>
          <w:rFonts w:cs="Times New Roman"/>
          <w:b/>
          <w:bCs/>
        </w:rPr>
      </w:pPr>
      <w:r w:rsidRPr="00B343CC">
        <w:rPr>
          <w:rFonts w:cs="Times New Roman"/>
          <w:b/>
          <w:bCs/>
        </w:rPr>
        <w:t>Geography of Palestine:</w:t>
      </w:r>
    </w:p>
    <w:p w14:paraId="1588B88C" w14:textId="77777777" w:rsidR="007C5E05" w:rsidRPr="00B343CC" w:rsidRDefault="007C5E05" w:rsidP="00323AE5">
      <w:pPr>
        <w:bidi w:val="0"/>
        <w:jc w:val="both"/>
        <w:rPr>
          <w:rFonts w:cs="Times New Roman"/>
          <w:b/>
          <w:bCs/>
          <w:sz w:val="16"/>
          <w:szCs w:val="16"/>
        </w:rPr>
      </w:pPr>
    </w:p>
    <w:p w14:paraId="391C9DB7" w14:textId="77777777" w:rsidR="007C5E05" w:rsidRPr="00B343CC" w:rsidRDefault="007C5E05" w:rsidP="00323AE5">
      <w:pPr>
        <w:bidi w:val="0"/>
        <w:jc w:val="both"/>
        <w:rPr>
          <w:rFonts w:cs="Times New Roman"/>
          <w:b/>
          <w:bCs/>
        </w:rPr>
      </w:pPr>
      <w:r w:rsidRPr="00B343CC">
        <w:rPr>
          <w:rFonts w:cs="Times New Roman"/>
          <w:b/>
          <w:bCs/>
        </w:rPr>
        <w:t>Historical Borders of Palestine:</w:t>
      </w:r>
    </w:p>
    <w:p w14:paraId="19DB3A91" w14:textId="77777777" w:rsidR="007C5E05" w:rsidRPr="00B343CC" w:rsidRDefault="007C5E05" w:rsidP="00323AE5">
      <w:pPr>
        <w:bidi w:val="0"/>
        <w:jc w:val="both"/>
        <w:rPr>
          <w:rFonts w:cs="Times New Roman"/>
        </w:rPr>
      </w:pPr>
      <w:r w:rsidRPr="00B343CC">
        <w:rPr>
          <w:rFonts w:cs="Times New Roman"/>
        </w:rPr>
        <w:t>Palestine is bordered to the north by the Syrian Arab Republic and the Lebanese Republic, to the west by the Mediterranean Sea, to the south by the Arab Republic of Egypt, and the Gulf of Aqaba, and to the east, by the Hashemite Kingdom of Jordan.</w:t>
      </w:r>
    </w:p>
    <w:p w14:paraId="0A62924A" w14:textId="77777777" w:rsidR="007C5E05" w:rsidRPr="00B343CC" w:rsidRDefault="007C5E05" w:rsidP="00323AE5">
      <w:pPr>
        <w:bidi w:val="0"/>
        <w:jc w:val="both"/>
        <w:rPr>
          <w:rFonts w:cs="Times New Roman"/>
          <w:noProof w:val="0"/>
        </w:rPr>
      </w:pPr>
    </w:p>
    <w:p w14:paraId="0292CA8C" w14:textId="77777777" w:rsidR="007C5E05" w:rsidRPr="00B343CC" w:rsidRDefault="007C5E05" w:rsidP="00323AE5">
      <w:pPr>
        <w:bidi w:val="0"/>
        <w:jc w:val="both"/>
        <w:rPr>
          <w:rFonts w:cs="Times New Roman"/>
          <w:b/>
          <w:bCs/>
          <w:noProof w:val="0"/>
        </w:rPr>
      </w:pPr>
      <w:r w:rsidRPr="00B343CC">
        <w:rPr>
          <w:rFonts w:cs="Times New Roman"/>
          <w:b/>
          <w:bCs/>
          <w:noProof w:val="0"/>
        </w:rPr>
        <w:t>Palestine’s Climate:</w:t>
      </w:r>
    </w:p>
    <w:p w14:paraId="54711009" w14:textId="2B81A9E2" w:rsidR="007C5E05" w:rsidRPr="00B343CC" w:rsidRDefault="007C5E05" w:rsidP="00323AE5">
      <w:pPr>
        <w:bidi w:val="0"/>
        <w:jc w:val="both"/>
        <w:rPr>
          <w:rFonts w:cs="Times New Roman"/>
          <w:noProof w:val="0"/>
        </w:rPr>
      </w:pPr>
      <w:r w:rsidRPr="00B343CC">
        <w:rPr>
          <w:rFonts w:cs="Times New Roman"/>
          <w:noProof w:val="0"/>
        </w:rPr>
        <w:t xml:space="preserve">Palestine is located within the region of the Mediterranean climate, which is characterized by its moderation, but the most important thing that distinguishes it is that it is </w:t>
      </w:r>
      <w:r w:rsidR="002525BF" w:rsidRPr="00B343CC">
        <w:rPr>
          <w:rFonts w:cs="Times New Roman"/>
          <w:noProof w:val="0"/>
        </w:rPr>
        <w:t>hot, dry in summer, cold,</w:t>
      </w:r>
      <w:r w:rsidRPr="00B343CC">
        <w:rPr>
          <w:rFonts w:cs="Times New Roman"/>
          <w:noProof w:val="0"/>
        </w:rPr>
        <w:t xml:space="preserve"> and rainy in winter. In Palestine, the climate varies with the diversity of topography.</w:t>
      </w:r>
    </w:p>
    <w:p w14:paraId="10810570" w14:textId="77777777" w:rsidR="007C5E05" w:rsidRPr="00B343CC" w:rsidRDefault="007C5E05" w:rsidP="00323AE5">
      <w:pPr>
        <w:bidi w:val="0"/>
        <w:jc w:val="both"/>
        <w:rPr>
          <w:rFonts w:cs="Times New Roman"/>
          <w:noProof w:val="0"/>
        </w:rPr>
      </w:pPr>
    </w:p>
    <w:p w14:paraId="40BA4DD6" w14:textId="77777777" w:rsidR="007C5E05" w:rsidRPr="00B343CC" w:rsidRDefault="007C5E05" w:rsidP="00323AE5">
      <w:pPr>
        <w:bidi w:val="0"/>
        <w:jc w:val="both"/>
        <w:rPr>
          <w:rFonts w:cs="Times New Roman"/>
          <w:b/>
          <w:bCs/>
          <w:noProof w:val="0"/>
          <w:rtl/>
        </w:rPr>
      </w:pPr>
      <w:r w:rsidRPr="00B343CC">
        <w:rPr>
          <w:rFonts w:cs="Times New Roman"/>
          <w:b/>
          <w:bCs/>
          <w:noProof w:val="0"/>
        </w:rPr>
        <w:t>Bodies of Water in Palestine:</w:t>
      </w:r>
    </w:p>
    <w:p w14:paraId="4648F4C4" w14:textId="77777777" w:rsidR="007C5E05" w:rsidRPr="00B343CC" w:rsidRDefault="007C5E05" w:rsidP="00323AE5">
      <w:pPr>
        <w:bidi w:val="0"/>
        <w:jc w:val="both"/>
        <w:rPr>
          <w:rFonts w:cs="Times New Roman"/>
          <w:noProof w:val="0"/>
        </w:rPr>
      </w:pPr>
      <w:r w:rsidRPr="00B343CC">
        <w:rPr>
          <w:rFonts w:cs="Times New Roman"/>
          <w:noProof w:val="0"/>
        </w:rPr>
        <w:t>There are many springs in Palestine, where there are about 860 springs spread in the mountainous areas and the valley.</w:t>
      </w:r>
    </w:p>
    <w:p w14:paraId="77E2DDDD" w14:textId="77777777" w:rsidR="007C5E05" w:rsidRPr="00B343CC" w:rsidRDefault="007C5E05" w:rsidP="00323AE5">
      <w:pPr>
        <w:bidi w:val="0"/>
        <w:jc w:val="both"/>
        <w:rPr>
          <w:rFonts w:cs="Times New Roman"/>
          <w:noProof w:val="0"/>
        </w:rPr>
      </w:pPr>
    </w:p>
    <w:p w14:paraId="55665F3F" w14:textId="77777777" w:rsidR="007C5E05" w:rsidRPr="00B343CC" w:rsidRDefault="007C5E05" w:rsidP="00323AE5">
      <w:pPr>
        <w:bidi w:val="0"/>
        <w:jc w:val="both"/>
        <w:rPr>
          <w:rFonts w:cs="Times New Roman"/>
          <w:noProof w:val="0"/>
        </w:rPr>
      </w:pPr>
      <w:r w:rsidRPr="00B343CC">
        <w:rPr>
          <w:rFonts w:cs="Times New Roman"/>
          <w:noProof w:val="0"/>
        </w:rPr>
        <w:t>As for the rivers of Palestine, most of them are short and seasonal, and the most important rivers of Palestine are the Jordan River, which is 320 km long. There is a number of short rivers that descend from the western foothills of the mountainous heights to flow into the Mediterranean Sea, the most important of which are Al Maqtaa River, Al-Qarn Valley, Al Zarqa'a River, and Al A'uja River.</w:t>
      </w:r>
    </w:p>
    <w:p w14:paraId="5360C662" w14:textId="77777777" w:rsidR="007C5E05" w:rsidRPr="00B343CC" w:rsidRDefault="007C5E05" w:rsidP="00323AE5">
      <w:pPr>
        <w:bidi w:val="0"/>
        <w:jc w:val="both"/>
        <w:rPr>
          <w:rFonts w:cs="Times New Roman"/>
          <w:noProof w:val="0"/>
        </w:rPr>
      </w:pPr>
    </w:p>
    <w:p w14:paraId="42A776EB" w14:textId="77777777" w:rsidR="007C5E05" w:rsidRPr="00B343CC" w:rsidRDefault="007C5E05" w:rsidP="00323AE5">
      <w:pPr>
        <w:bidi w:val="0"/>
        <w:jc w:val="both"/>
        <w:rPr>
          <w:rFonts w:cs="Times New Roman"/>
          <w:noProof w:val="0"/>
        </w:rPr>
      </w:pPr>
      <w:r w:rsidRPr="00B343CC">
        <w:rPr>
          <w:rFonts w:cs="Times New Roman"/>
          <w:noProof w:val="0"/>
        </w:rPr>
        <w:t xml:space="preserve">Palestine overlooks the coast of the Mediterranean Sea for about 224 km and Al-Aqaba Gulf for about 10.5 km. There is also Tiberias Lake, which is the only water surface found in Palestine. It is 21.5 km long and 12.3 km wide </w:t>
      </w:r>
    </w:p>
    <w:p w14:paraId="2D89DCA1" w14:textId="77777777" w:rsidR="007C5E05" w:rsidRPr="00B343CC" w:rsidRDefault="007C5E05" w:rsidP="00323AE5">
      <w:pPr>
        <w:bidi w:val="0"/>
        <w:jc w:val="both"/>
        <w:rPr>
          <w:rFonts w:cs="Times New Roman"/>
          <w:noProof w:val="0"/>
        </w:rPr>
      </w:pPr>
    </w:p>
    <w:p w14:paraId="1CE1DC5D" w14:textId="77777777" w:rsidR="007C5E05" w:rsidRPr="00B343CC" w:rsidRDefault="007C5E05" w:rsidP="00323AE5">
      <w:pPr>
        <w:bidi w:val="0"/>
        <w:jc w:val="both"/>
        <w:rPr>
          <w:rFonts w:cs="Times New Roman"/>
          <w:b/>
          <w:bCs/>
          <w:noProof w:val="0"/>
        </w:rPr>
      </w:pPr>
      <w:r w:rsidRPr="00B343CC">
        <w:rPr>
          <w:rFonts w:cs="Times New Roman"/>
          <w:b/>
          <w:bCs/>
          <w:noProof w:val="0"/>
        </w:rPr>
        <w:t>Governorates of Palestine</w:t>
      </w:r>
    </w:p>
    <w:p w14:paraId="1FCFA764" w14:textId="77777777" w:rsidR="007C5E05" w:rsidRPr="00B343CC" w:rsidRDefault="007C5E05" w:rsidP="00323AE5">
      <w:pPr>
        <w:bidi w:val="0"/>
        <w:jc w:val="both"/>
        <w:rPr>
          <w:rFonts w:cs="Times New Roman"/>
          <w:noProof w:val="0"/>
        </w:rPr>
      </w:pPr>
      <w:r w:rsidRPr="00B343CC">
        <w:rPr>
          <w:rFonts w:cs="Times New Roman"/>
          <w:noProof w:val="0"/>
        </w:rPr>
        <w:t>The area of ​​historical Palestine is 27,027 km</w:t>
      </w:r>
      <w:r w:rsidRPr="00B343CC">
        <w:rPr>
          <w:rFonts w:cs="Times New Roman"/>
          <w:noProof w:val="0"/>
          <w:vertAlign w:val="superscript"/>
        </w:rPr>
        <w:t>2</w:t>
      </w:r>
      <w:r w:rsidRPr="00B343CC">
        <w:rPr>
          <w:rFonts w:cs="Times New Roman"/>
          <w:noProof w:val="0"/>
        </w:rPr>
        <w:t>, where the area of the West Bank is 5,660 km</w:t>
      </w:r>
      <w:r w:rsidRPr="00B343CC">
        <w:rPr>
          <w:rFonts w:cs="Times New Roman"/>
          <w:noProof w:val="0"/>
          <w:vertAlign w:val="superscript"/>
        </w:rPr>
        <w:t>2</w:t>
      </w:r>
      <w:r w:rsidRPr="00B343CC">
        <w:rPr>
          <w:rFonts w:cs="Times New Roman"/>
          <w:noProof w:val="0"/>
          <w:sz w:val="22"/>
          <w:szCs w:val="22"/>
          <w:vertAlign w:val="superscript"/>
        </w:rPr>
        <w:t xml:space="preserve"> </w:t>
      </w:r>
      <w:r w:rsidRPr="00B343CC">
        <w:rPr>
          <w:rFonts w:cs="Times New Roman"/>
          <w:noProof w:val="0"/>
        </w:rPr>
        <w:t>and the area of Gaza Strip is 365 km</w:t>
      </w:r>
      <w:r w:rsidRPr="00B343CC">
        <w:rPr>
          <w:rFonts w:cs="Times New Roman"/>
          <w:noProof w:val="0"/>
          <w:vertAlign w:val="superscript"/>
        </w:rPr>
        <w:t>2</w:t>
      </w:r>
      <w:r w:rsidRPr="00B343CC">
        <w:rPr>
          <w:rFonts w:cs="Times New Roman"/>
          <w:noProof w:val="0"/>
        </w:rPr>
        <w:t>.</w:t>
      </w:r>
      <w:r w:rsidRPr="00B343CC">
        <w:rPr>
          <w:rFonts w:cs="Times New Roman"/>
          <w:noProof w:val="0"/>
          <w:vertAlign w:val="superscript"/>
        </w:rPr>
        <w:t xml:space="preserve"> </w:t>
      </w:r>
      <w:r w:rsidRPr="00B343CC">
        <w:rPr>
          <w:rFonts w:cs="Times New Roman"/>
          <w:noProof w:val="0"/>
        </w:rPr>
        <w:t xml:space="preserve"> Palestine consists of 16 governorates (Jerusalem, the capital of Palestine, Jenin, Tubas and the northern valleys, Tulkarm, Nablus, Qalqiliya, Salfit, Ramallah and Al-Bireh, Jericho and Al-Aghwar, Bethlehem, Hebron, North Gaza, Gaza, Deir Al-Balah, Khan Yunis, and Rafah).</w:t>
      </w:r>
    </w:p>
    <w:p w14:paraId="7C55655E" w14:textId="77777777" w:rsidR="007C5E05" w:rsidRPr="00B343CC" w:rsidRDefault="007C5E05" w:rsidP="00323AE5">
      <w:pPr>
        <w:bidi w:val="0"/>
        <w:jc w:val="center"/>
        <w:rPr>
          <w:rFonts w:cs="Times New Roman"/>
          <w:b/>
          <w:bCs/>
        </w:rPr>
      </w:pPr>
    </w:p>
    <w:p w14:paraId="731EB045" w14:textId="77777777" w:rsidR="007C5E05" w:rsidRPr="00B343CC" w:rsidRDefault="007C5E05" w:rsidP="00323AE5">
      <w:pPr>
        <w:bidi w:val="0"/>
        <w:jc w:val="both"/>
        <w:rPr>
          <w:rFonts w:cs="Times New Roman"/>
        </w:rPr>
      </w:pPr>
    </w:p>
    <w:p w14:paraId="7B5D4145" w14:textId="77777777" w:rsidR="007C5E05" w:rsidRPr="00B343CC" w:rsidRDefault="007C5E05" w:rsidP="00323AE5">
      <w:pPr>
        <w:bidi w:val="0"/>
        <w:rPr>
          <w:rFonts w:cs="Times New Roman"/>
          <w:b/>
          <w:bCs/>
        </w:rPr>
      </w:pPr>
      <w:r w:rsidRPr="00B343CC">
        <w:rPr>
          <w:rFonts w:cs="Times New Roman"/>
          <w:b/>
          <w:bCs/>
        </w:rPr>
        <w:br w:type="page"/>
      </w:r>
    </w:p>
    <w:p w14:paraId="439DFE29" w14:textId="77777777" w:rsidR="007C5E05" w:rsidRPr="00B343CC" w:rsidRDefault="007C5E05" w:rsidP="00323AE5">
      <w:pPr>
        <w:bidi w:val="0"/>
        <w:jc w:val="center"/>
        <w:rPr>
          <w:rFonts w:cs="Times New Roman"/>
          <w:b/>
          <w:bCs/>
        </w:rPr>
      </w:pPr>
    </w:p>
    <w:p w14:paraId="1F2C3BBF" w14:textId="77777777" w:rsidR="007C5E05" w:rsidRPr="00B343CC" w:rsidRDefault="007C5E05" w:rsidP="00323AE5">
      <w:pPr>
        <w:bidi w:val="0"/>
        <w:jc w:val="center"/>
        <w:rPr>
          <w:rFonts w:cs="Times New Roman"/>
          <w:b/>
          <w:bCs/>
        </w:rPr>
      </w:pPr>
    </w:p>
    <w:p w14:paraId="7EFCC17C" w14:textId="77777777" w:rsidR="007C5E05" w:rsidRPr="00B343CC" w:rsidRDefault="007C5E05" w:rsidP="00323AE5">
      <w:pPr>
        <w:bidi w:val="0"/>
        <w:jc w:val="center"/>
        <w:rPr>
          <w:rFonts w:cs="Times New Roman"/>
          <w:b/>
          <w:bCs/>
        </w:rPr>
      </w:pPr>
    </w:p>
    <w:p w14:paraId="4197AD9B" w14:textId="77777777" w:rsidR="007C5E05" w:rsidRPr="00B343CC" w:rsidRDefault="007C5E05" w:rsidP="00323AE5">
      <w:pPr>
        <w:bidi w:val="0"/>
        <w:jc w:val="center"/>
        <w:rPr>
          <w:rFonts w:cs="Times New Roman"/>
          <w:b/>
          <w:bCs/>
        </w:rPr>
      </w:pPr>
    </w:p>
    <w:p w14:paraId="72EBDB03" w14:textId="77777777" w:rsidR="007C5E05" w:rsidRPr="00B343CC" w:rsidRDefault="007C5E05" w:rsidP="00323AE5">
      <w:pPr>
        <w:bidi w:val="0"/>
        <w:jc w:val="center"/>
        <w:rPr>
          <w:rFonts w:cs="Times New Roman"/>
          <w:b/>
          <w:bCs/>
        </w:rPr>
      </w:pPr>
    </w:p>
    <w:p w14:paraId="5D3DFBC6" w14:textId="77777777" w:rsidR="007C5E05" w:rsidRPr="00B343CC" w:rsidRDefault="007C5E05" w:rsidP="00323AE5">
      <w:pPr>
        <w:bidi w:val="0"/>
        <w:jc w:val="center"/>
        <w:rPr>
          <w:rFonts w:cs="Times New Roman"/>
          <w:b/>
          <w:bCs/>
        </w:rPr>
      </w:pPr>
    </w:p>
    <w:p w14:paraId="2DF0B42C" w14:textId="77777777" w:rsidR="007C5E05" w:rsidRPr="00B343CC" w:rsidRDefault="007C5E05" w:rsidP="00323AE5">
      <w:pPr>
        <w:bidi w:val="0"/>
        <w:jc w:val="center"/>
        <w:rPr>
          <w:rFonts w:cs="Times New Roman"/>
          <w:b/>
          <w:bCs/>
        </w:rPr>
        <w:sectPr w:rsidR="007C5E05" w:rsidRPr="00B343CC" w:rsidSect="006B3D25">
          <w:footerReference w:type="default" r:id="rId22"/>
          <w:endnotePr>
            <w:numFmt w:val="lowerLetter"/>
          </w:endnotePr>
          <w:pgSz w:w="9639" w:h="13608" w:code="9"/>
          <w:pgMar w:top="1134" w:right="1134" w:bottom="1134" w:left="1134" w:header="567" w:footer="567" w:gutter="0"/>
          <w:cols w:space="720"/>
          <w:bidi/>
          <w:rtlGutter/>
          <w:docGrid w:linePitch="272"/>
        </w:sectPr>
      </w:pPr>
    </w:p>
    <w:p w14:paraId="063CBC47" w14:textId="77777777" w:rsidR="003B4EEF" w:rsidRPr="00B343CC" w:rsidRDefault="003B4EEF" w:rsidP="00323AE5">
      <w:pPr>
        <w:pStyle w:val="Title"/>
        <w:rPr>
          <w:sz w:val="26"/>
          <w:szCs w:val="26"/>
        </w:rPr>
      </w:pPr>
      <w:r w:rsidRPr="00B343CC">
        <w:rPr>
          <w:sz w:val="26"/>
          <w:szCs w:val="26"/>
        </w:rPr>
        <w:lastRenderedPageBreak/>
        <w:t>Summary</w:t>
      </w:r>
    </w:p>
    <w:p w14:paraId="630F9D6C" w14:textId="77777777" w:rsidR="003B4EEF" w:rsidRPr="00B343CC" w:rsidRDefault="003B4EEF" w:rsidP="00323AE5">
      <w:pPr>
        <w:pStyle w:val="Title"/>
        <w:rPr>
          <w:sz w:val="24"/>
          <w:szCs w:val="24"/>
        </w:rPr>
      </w:pPr>
      <w:r w:rsidRPr="00B343CC">
        <w:rPr>
          <w:sz w:val="24"/>
          <w:szCs w:val="24"/>
        </w:rPr>
        <w:t xml:space="preserve">Palestinians in State of Palestine  </w:t>
      </w:r>
    </w:p>
    <w:p w14:paraId="691729D3" w14:textId="77777777" w:rsidR="003B4EEF" w:rsidRPr="00B343CC" w:rsidRDefault="003B4EEF" w:rsidP="00323AE5">
      <w:pPr>
        <w:jc w:val="center"/>
        <w:rPr>
          <w:rFonts w:cs="Times New Roman"/>
          <w:b/>
          <w:bCs/>
          <w:sz w:val="24"/>
          <w:szCs w:val="24"/>
          <w:rtl/>
        </w:rPr>
      </w:pPr>
      <w:r w:rsidRPr="00B343CC">
        <w:rPr>
          <w:rFonts w:cs="Times New Roman"/>
          <w:b/>
          <w:bCs/>
          <w:sz w:val="24"/>
          <w:szCs w:val="24"/>
        </w:rPr>
        <w:t xml:space="preserve">(West Bank and Gaza Strip) </w:t>
      </w:r>
    </w:p>
    <w:p w14:paraId="38AC6B94" w14:textId="77777777" w:rsidR="003B4EEF" w:rsidRPr="00B343CC" w:rsidRDefault="003B4EEF" w:rsidP="00323AE5">
      <w:pPr>
        <w:jc w:val="center"/>
        <w:rPr>
          <w:rFonts w:cs="Times New Roman"/>
          <w:b/>
          <w:bCs/>
          <w:rtl/>
        </w:rPr>
      </w:pPr>
    </w:p>
    <w:p w14:paraId="0A557133" w14:textId="77777777" w:rsidR="00F93A55" w:rsidRPr="00927676" w:rsidRDefault="00F93A55" w:rsidP="00F93A55">
      <w:pPr>
        <w:pStyle w:val="ListParagraph"/>
        <w:numPr>
          <w:ilvl w:val="0"/>
          <w:numId w:val="15"/>
        </w:numPr>
        <w:tabs>
          <w:tab w:val="right" w:pos="364"/>
        </w:tabs>
        <w:bidi w:val="0"/>
        <w:ind w:left="709" w:hanging="709"/>
        <w:rPr>
          <w:rFonts w:cs="Times New Roman"/>
          <w:b/>
          <w:bCs/>
        </w:rPr>
      </w:pPr>
      <w:r w:rsidRPr="00927676">
        <w:rPr>
          <w:rFonts w:cs="Times New Roman"/>
          <w:b/>
          <w:bCs/>
        </w:rPr>
        <w:t xml:space="preserve">Population and Social Statistics </w:t>
      </w:r>
    </w:p>
    <w:p w14:paraId="0AE4793D" w14:textId="77777777" w:rsidR="00F93A55" w:rsidRPr="00927676" w:rsidRDefault="00F93A55" w:rsidP="00F93A55">
      <w:pPr>
        <w:pStyle w:val="ListParagraph"/>
        <w:tabs>
          <w:tab w:val="right" w:pos="284"/>
        </w:tabs>
        <w:bidi w:val="0"/>
        <w:ind w:left="284" w:hanging="284"/>
        <w:rPr>
          <w:rFonts w:cs="Times New Roman"/>
          <w:b/>
          <w:bCs/>
          <w:sz w:val="20"/>
          <w:szCs w:val="16"/>
        </w:rPr>
      </w:pPr>
      <w:r w:rsidRPr="00927676">
        <w:rPr>
          <w:rFonts w:cs="Times New Roman"/>
          <w:b/>
          <w:bCs/>
          <w:sz w:val="20"/>
          <w:szCs w:val="16"/>
        </w:rPr>
        <w:t>1.1  Population and Vital Statistics</w:t>
      </w:r>
    </w:p>
    <w:p w14:paraId="7A0BC61D" w14:textId="77777777" w:rsidR="00F93A55" w:rsidRPr="00927676" w:rsidRDefault="00F93A55" w:rsidP="00F93A55">
      <w:pPr>
        <w:pStyle w:val="ListParagraph"/>
        <w:tabs>
          <w:tab w:val="right" w:pos="284"/>
        </w:tabs>
        <w:bidi w:val="0"/>
        <w:ind w:left="284" w:hanging="284"/>
        <w:rPr>
          <w:rFonts w:cs="Times New Roman"/>
          <w:b/>
          <w:bCs/>
          <w:sz w:val="20"/>
          <w:szCs w:val="16"/>
          <w:rtl/>
        </w:rPr>
      </w:pPr>
      <w:r w:rsidRPr="00927676">
        <w:rPr>
          <w:rFonts w:cs="Times New Roman"/>
          <w:b/>
          <w:bCs/>
          <w:sz w:val="20"/>
          <w:szCs w:val="16"/>
        </w:rPr>
        <w:t>1.1.1 Population</w:t>
      </w:r>
    </w:p>
    <w:p w14:paraId="30BC4624"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population of Palestine was estimated at 5.</w:t>
      </w:r>
      <w:r w:rsidRPr="00927676">
        <w:rPr>
          <w:b w:val="0"/>
          <w:bCs w:val="0"/>
          <w:sz w:val="19"/>
          <w:szCs w:val="19"/>
          <w:rtl/>
        </w:rPr>
        <w:t>490</w:t>
      </w:r>
      <w:r w:rsidRPr="00927676">
        <w:rPr>
          <w:b w:val="0"/>
          <w:bCs w:val="0"/>
          <w:sz w:val="19"/>
          <w:szCs w:val="19"/>
        </w:rPr>
        <w:t xml:space="preserve"> million at the end of </w:t>
      </w:r>
      <w:r w:rsidRPr="00927676">
        <w:rPr>
          <w:b w:val="0"/>
          <w:bCs w:val="0"/>
          <w:sz w:val="19"/>
          <w:szCs w:val="19"/>
          <w:rtl/>
        </w:rPr>
        <w:t>2024</w:t>
      </w:r>
      <w:r w:rsidRPr="00927676">
        <w:rPr>
          <w:b w:val="0"/>
          <w:bCs w:val="0"/>
          <w:sz w:val="19"/>
          <w:szCs w:val="19"/>
        </w:rPr>
        <w:t xml:space="preserve"> (3.</w:t>
      </w:r>
      <w:r w:rsidRPr="00927676">
        <w:rPr>
          <w:b w:val="0"/>
          <w:bCs w:val="0"/>
          <w:sz w:val="19"/>
          <w:szCs w:val="19"/>
          <w:rtl/>
        </w:rPr>
        <w:t>361</w:t>
      </w:r>
      <w:r w:rsidRPr="00927676">
        <w:rPr>
          <w:b w:val="0"/>
          <w:bCs w:val="0"/>
          <w:sz w:val="19"/>
          <w:szCs w:val="19"/>
        </w:rPr>
        <w:t xml:space="preserve"> million in the West Bank and </w:t>
      </w:r>
      <w:r w:rsidRPr="00927676">
        <w:rPr>
          <w:b w:val="0"/>
          <w:bCs w:val="0"/>
          <w:sz w:val="19"/>
          <w:szCs w:val="19"/>
          <w:rtl/>
        </w:rPr>
        <w:t>1</w:t>
      </w:r>
      <w:r w:rsidRPr="00927676">
        <w:rPr>
          <w:b w:val="0"/>
          <w:bCs w:val="0"/>
          <w:sz w:val="19"/>
          <w:szCs w:val="19"/>
        </w:rPr>
        <w:t>.</w:t>
      </w:r>
      <w:r w:rsidRPr="00927676">
        <w:rPr>
          <w:b w:val="0"/>
          <w:bCs w:val="0"/>
          <w:sz w:val="19"/>
          <w:szCs w:val="19"/>
          <w:rtl/>
        </w:rPr>
        <w:t>129</w:t>
      </w:r>
      <w:r w:rsidRPr="00927676">
        <w:rPr>
          <w:b w:val="0"/>
          <w:bCs w:val="0"/>
          <w:sz w:val="19"/>
          <w:szCs w:val="19"/>
        </w:rPr>
        <w:t xml:space="preserve"> million in Gaza Strip).</w:t>
      </w:r>
    </w:p>
    <w:p w14:paraId="41DB9371"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population of Palestine is young: 43% of the total population were under 18 years at the end of </w:t>
      </w:r>
      <w:r w:rsidRPr="00927676">
        <w:rPr>
          <w:b w:val="0"/>
          <w:bCs w:val="0"/>
          <w:sz w:val="19"/>
          <w:szCs w:val="19"/>
          <w:rtl/>
        </w:rPr>
        <w:t>2024</w:t>
      </w:r>
      <w:r w:rsidRPr="00927676">
        <w:rPr>
          <w:b w:val="0"/>
          <w:bCs w:val="0"/>
          <w:sz w:val="19"/>
          <w:szCs w:val="19"/>
        </w:rPr>
        <w:t xml:space="preserve"> (</w:t>
      </w:r>
      <w:r w:rsidRPr="00927676">
        <w:rPr>
          <w:b w:val="0"/>
          <w:bCs w:val="0"/>
          <w:sz w:val="19"/>
          <w:szCs w:val="19"/>
          <w:rtl/>
        </w:rPr>
        <w:t>41</w:t>
      </w:r>
      <w:r w:rsidRPr="00927676">
        <w:rPr>
          <w:b w:val="0"/>
          <w:bCs w:val="0"/>
          <w:sz w:val="19"/>
          <w:szCs w:val="19"/>
        </w:rPr>
        <w:t xml:space="preserve">% in the West Bank and </w:t>
      </w:r>
      <w:r w:rsidRPr="00927676">
        <w:rPr>
          <w:b w:val="0"/>
          <w:bCs w:val="0"/>
          <w:sz w:val="19"/>
          <w:szCs w:val="19"/>
          <w:rtl/>
        </w:rPr>
        <w:t>47</w:t>
      </w:r>
      <w:r w:rsidRPr="00927676">
        <w:rPr>
          <w:b w:val="0"/>
          <w:bCs w:val="0"/>
          <w:sz w:val="19"/>
          <w:szCs w:val="19"/>
        </w:rPr>
        <w:t xml:space="preserve">% in Gaza Strip). Persons aged 65 and above constituted </w:t>
      </w:r>
      <w:r w:rsidRPr="00927676">
        <w:rPr>
          <w:b w:val="0"/>
          <w:bCs w:val="0"/>
          <w:sz w:val="19"/>
          <w:szCs w:val="19"/>
          <w:rtl/>
        </w:rPr>
        <w:t>4</w:t>
      </w:r>
      <w:r w:rsidRPr="00927676">
        <w:rPr>
          <w:b w:val="0"/>
          <w:bCs w:val="0"/>
          <w:sz w:val="19"/>
          <w:szCs w:val="19"/>
        </w:rPr>
        <w:t>% of the total population (4% in the West Bank and 3% in Gaza Strip).</w:t>
      </w:r>
    </w:p>
    <w:p w14:paraId="1FB43104"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total fertility rate in Palestine between 2017 and 2019 was 3.8 births (3.8 births in the West Bank and 3.9 births in Gaza Strip).</w:t>
      </w:r>
    </w:p>
    <w:p w14:paraId="5EC92D8F"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In 2017, Palestinian refugees constituted 42.2% of the total population (26.3% in the West Bank and 66.1% in Gaza Strip).</w:t>
      </w:r>
    </w:p>
    <w:p w14:paraId="66E5AF3F"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average household size in Palestine was</w:t>
      </w:r>
      <w:r w:rsidRPr="00927676">
        <w:rPr>
          <w:b w:val="0"/>
          <w:bCs w:val="0"/>
          <w:sz w:val="19"/>
          <w:szCs w:val="19"/>
          <w:rtl/>
        </w:rPr>
        <w:t xml:space="preserve">4.9 </w:t>
      </w:r>
      <w:r w:rsidRPr="00927676">
        <w:rPr>
          <w:b w:val="0"/>
          <w:bCs w:val="0"/>
          <w:sz w:val="19"/>
          <w:szCs w:val="19"/>
        </w:rPr>
        <w:t xml:space="preserve"> persons in </w:t>
      </w:r>
      <w:r w:rsidRPr="00927676">
        <w:rPr>
          <w:b w:val="0"/>
          <w:bCs w:val="0"/>
          <w:sz w:val="19"/>
          <w:szCs w:val="19"/>
          <w:rtl/>
        </w:rPr>
        <w:t>2023</w:t>
      </w:r>
      <w:r w:rsidRPr="00927676">
        <w:rPr>
          <w:b w:val="0"/>
          <w:bCs w:val="0"/>
          <w:sz w:val="19"/>
          <w:szCs w:val="19"/>
        </w:rPr>
        <w:t xml:space="preserve"> (4.</w:t>
      </w:r>
      <w:r w:rsidRPr="00927676">
        <w:rPr>
          <w:b w:val="0"/>
          <w:bCs w:val="0"/>
          <w:sz w:val="19"/>
          <w:szCs w:val="19"/>
          <w:rtl/>
        </w:rPr>
        <w:t>7</w:t>
      </w:r>
      <w:r w:rsidRPr="00927676">
        <w:rPr>
          <w:b w:val="0"/>
          <w:bCs w:val="0"/>
          <w:sz w:val="19"/>
          <w:szCs w:val="19"/>
        </w:rPr>
        <w:t xml:space="preserve"> persons in the West Bank and </w:t>
      </w:r>
      <w:r w:rsidRPr="00927676">
        <w:rPr>
          <w:b w:val="0"/>
          <w:bCs w:val="0"/>
          <w:sz w:val="19"/>
          <w:szCs w:val="19"/>
          <w:rtl/>
        </w:rPr>
        <w:t>5.3</w:t>
      </w:r>
      <w:r w:rsidRPr="00927676">
        <w:rPr>
          <w:b w:val="0"/>
          <w:bCs w:val="0"/>
          <w:sz w:val="19"/>
          <w:szCs w:val="19"/>
        </w:rPr>
        <w:t xml:space="preserve"> persons in Gaza Strip).</w:t>
      </w:r>
    </w:p>
    <w:p w14:paraId="3EBFCBF2" w14:textId="77777777" w:rsidR="006609C6" w:rsidRPr="00B343CC" w:rsidRDefault="006609C6" w:rsidP="006609C6">
      <w:pPr>
        <w:pStyle w:val="BodyText2"/>
        <w:jc w:val="both"/>
        <w:rPr>
          <w:b w:val="0"/>
          <w:bCs w:val="0"/>
          <w:sz w:val="19"/>
          <w:szCs w:val="19"/>
        </w:rPr>
      </w:pPr>
    </w:p>
    <w:p w14:paraId="5EFFDD93" w14:textId="77777777" w:rsidR="006609C6" w:rsidRPr="00B343CC" w:rsidRDefault="006609C6" w:rsidP="006609C6">
      <w:pPr>
        <w:pStyle w:val="BodyText"/>
        <w:jc w:val="center"/>
        <w:rPr>
          <w:b/>
          <w:bCs/>
          <w:sz w:val="18"/>
          <w:szCs w:val="18"/>
        </w:rPr>
      </w:pPr>
      <w:r w:rsidRPr="00B343CC">
        <w:rPr>
          <w:rFonts w:cs="Simplified Arabic"/>
          <w:b/>
          <w:bCs/>
          <w:sz w:val="18"/>
          <w:szCs w:val="18"/>
        </w:rPr>
        <w:t>Population Pyramid in Palestine, End Year 2024</w:t>
      </w:r>
    </w:p>
    <w:p w14:paraId="18E4485E" w14:textId="77777777" w:rsidR="006609C6" w:rsidRPr="00B343CC" w:rsidRDefault="006609C6" w:rsidP="006609C6">
      <w:pPr>
        <w:bidi w:val="0"/>
        <w:rPr>
          <w:rFonts w:cs="Simplified Arabic"/>
          <w:b/>
          <w:bCs/>
          <w:sz w:val="14"/>
          <w:szCs w:val="14"/>
        </w:rPr>
      </w:pPr>
      <w:r w:rsidRPr="00B343CC">
        <w:rPr>
          <w:rFonts w:cs="Simplified Arabic"/>
          <w:b/>
          <w:bCs/>
          <w:sz w:val="14"/>
          <w:szCs w:val="14"/>
        </w:rPr>
        <w:t>Population in Thousands</w:t>
      </w:r>
    </w:p>
    <w:p w14:paraId="08B8EA36" w14:textId="77777777" w:rsidR="006609C6" w:rsidRPr="00B343CC" w:rsidRDefault="006609C6" w:rsidP="006609C6">
      <w:pPr>
        <w:bidi w:val="0"/>
        <w:rPr>
          <w:rFonts w:cs="Simplified Arabic"/>
          <w:b/>
          <w:bCs/>
          <w:sz w:val="14"/>
          <w:szCs w:val="14"/>
        </w:rPr>
      </w:pPr>
      <w:r w:rsidRPr="00B343CC">
        <w:rPr>
          <w:rFonts w:cs="Simplified Arabic"/>
          <w:b/>
          <w:bCs/>
          <w:sz w:val="14"/>
          <w:szCs w:val="14"/>
        </w:rPr>
        <w:t xml:space="preserve"> </w:t>
      </w:r>
      <w:r w:rsidRPr="00B343CC">
        <w:rPr>
          <w:rFonts w:ascii="Arial" w:hAnsi="Arial"/>
          <w:sz w:val="18"/>
          <w:szCs w:val="18"/>
        </w:rPr>
        <w:drawing>
          <wp:inline distT="0" distB="0" distL="0" distR="0" wp14:anchorId="0E76FDA8" wp14:editId="2FDB9C2A">
            <wp:extent cx="4647537" cy="2182633"/>
            <wp:effectExtent l="0" t="0" r="1270" b="8255"/>
            <wp:docPr id="7"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8FDC59A" w14:textId="77777777" w:rsidR="006609C6" w:rsidRPr="00B343CC" w:rsidRDefault="006609C6" w:rsidP="006609C6">
      <w:pPr>
        <w:pStyle w:val="BodyText2"/>
        <w:jc w:val="both"/>
        <w:rPr>
          <w:b w:val="0"/>
          <w:bCs w:val="0"/>
          <w:sz w:val="19"/>
          <w:szCs w:val="19"/>
        </w:rPr>
      </w:pPr>
    </w:p>
    <w:p w14:paraId="39084A05" w14:textId="77777777" w:rsidR="00F93A55" w:rsidRPr="00927676" w:rsidRDefault="00F93A55" w:rsidP="00F93A55">
      <w:pPr>
        <w:pStyle w:val="Title"/>
        <w:jc w:val="both"/>
        <w:rPr>
          <w:sz w:val="20"/>
          <w:szCs w:val="20"/>
        </w:rPr>
      </w:pPr>
      <w:r w:rsidRPr="00927676">
        <w:rPr>
          <w:sz w:val="20"/>
          <w:szCs w:val="20"/>
        </w:rPr>
        <w:t>1.1.2 Vital Statistics</w:t>
      </w:r>
    </w:p>
    <w:p w14:paraId="0E0C701F"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number of registered marriage contracts in 2022 in Sharia courts and churches in Palestine reached 43,430 contracts (24,263 contracts in the West Bank and 19,167 contracts in Gaza Strip).</w:t>
      </w:r>
    </w:p>
    <w:p w14:paraId="0E36019F"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In 2022, Tulkarm Governorate recorded Palestine's highest crude marriage rate (cases per 1000 population), with 11.1 marriage cases per 1000 population. In contrast, Jerusalem Governorate has recorded Palestine's lowest crude marriage rate (cases per 1000 population) at 4.7 marriage cases per 1000 population.</w:t>
      </w:r>
    </w:p>
    <w:p w14:paraId="48E8F89E"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number of registered divorces at Sharia courts in Palestine in </w:t>
      </w:r>
      <w:r w:rsidRPr="00927676">
        <w:rPr>
          <w:b w:val="0"/>
          <w:bCs w:val="0"/>
          <w:sz w:val="19"/>
          <w:szCs w:val="19"/>
          <w:rtl/>
        </w:rPr>
        <w:t>2022</w:t>
      </w:r>
      <w:r w:rsidRPr="00927676">
        <w:rPr>
          <w:b w:val="0"/>
          <w:bCs w:val="0"/>
          <w:sz w:val="19"/>
          <w:szCs w:val="19"/>
        </w:rPr>
        <w:t xml:space="preserve"> was 9,</w:t>
      </w:r>
      <w:r w:rsidRPr="00927676">
        <w:rPr>
          <w:b w:val="0"/>
          <w:bCs w:val="0"/>
          <w:sz w:val="19"/>
          <w:szCs w:val="19"/>
          <w:rtl/>
        </w:rPr>
        <w:t>564</w:t>
      </w:r>
      <w:r w:rsidRPr="00927676">
        <w:rPr>
          <w:b w:val="0"/>
          <w:bCs w:val="0"/>
          <w:sz w:val="19"/>
          <w:szCs w:val="19"/>
        </w:rPr>
        <w:t xml:space="preserve"> cases (5,</w:t>
      </w:r>
      <w:r w:rsidRPr="00927676">
        <w:rPr>
          <w:b w:val="0"/>
          <w:bCs w:val="0"/>
          <w:sz w:val="19"/>
          <w:szCs w:val="19"/>
          <w:rtl/>
        </w:rPr>
        <w:t>302</w:t>
      </w:r>
      <w:r w:rsidRPr="00927676">
        <w:rPr>
          <w:b w:val="0"/>
          <w:bCs w:val="0"/>
          <w:sz w:val="19"/>
          <w:szCs w:val="19"/>
        </w:rPr>
        <w:t xml:space="preserve"> cases in the West Bank and 4,</w:t>
      </w:r>
      <w:r w:rsidRPr="00927676">
        <w:rPr>
          <w:b w:val="0"/>
          <w:bCs w:val="0"/>
          <w:sz w:val="19"/>
          <w:szCs w:val="19"/>
          <w:rtl/>
        </w:rPr>
        <w:t>262</w:t>
      </w:r>
      <w:r w:rsidRPr="00927676">
        <w:rPr>
          <w:b w:val="0"/>
          <w:bCs w:val="0"/>
          <w:sz w:val="19"/>
          <w:szCs w:val="19"/>
        </w:rPr>
        <w:t xml:space="preserve"> cases in Gaza Strip). </w:t>
      </w:r>
    </w:p>
    <w:p w14:paraId="2C96A6A8" w14:textId="77777777" w:rsidR="00F93A55" w:rsidRPr="00927676" w:rsidRDefault="00F93A55" w:rsidP="00F93A55">
      <w:pPr>
        <w:pStyle w:val="BodyText2"/>
        <w:numPr>
          <w:ilvl w:val="0"/>
          <w:numId w:val="8"/>
        </w:numPr>
        <w:ind w:left="357" w:hanging="357"/>
        <w:jc w:val="both"/>
        <w:rPr>
          <w:b w:val="0"/>
          <w:bCs w:val="0"/>
          <w:sz w:val="19"/>
          <w:szCs w:val="19"/>
        </w:rPr>
      </w:pPr>
      <w:r w:rsidRPr="00927676">
        <w:rPr>
          <w:b w:val="0"/>
          <w:bCs w:val="0"/>
          <w:sz w:val="19"/>
          <w:szCs w:val="19"/>
        </w:rPr>
        <w:t xml:space="preserve">In 2022, Qalqiliya Governorate recorded Palestine's highest crude divorce rate (cases per 1000 population), with 2.5 divorce cases per 1000 population. In contrast, Bethlehem </w:t>
      </w:r>
      <w:r w:rsidRPr="00927676">
        <w:rPr>
          <w:b w:val="0"/>
          <w:bCs w:val="0"/>
          <w:sz w:val="19"/>
          <w:szCs w:val="19"/>
        </w:rPr>
        <w:lastRenderedPageBreak/>
        <w:t>Governorate has recorded Palestine's lowest crude divorce rate (cases per 1000 population) at 1.0 divorce cases per 1000 population.</w:t>
      </w:r>
    </w:p>
    <w:p w14:paraId="2A844C08" w14:textId="77777777" w:rsidR="00F93A55" w:rsidRPr="00927676" w:rsidRDefault="00F93A55" w:rsidP="00F93A55">
      <w:pPr>
        <w:pStyle w:val="BodyText2"/>
        <w:numPr>
          <w:ilvl w:val="0"/>
          <w:numId w:val="8"/>
        </w:numPr>
        <w:rPr>
          <w:b w:val="0"/>
          <w:bCs w:val="0"/>
          <w:sz w:val="19"/>
          <w:szCs w:val="19"/>
        </w:rPr>
      </w:pPr>
      <w:r w:rsidRPr="00927676">
        <w:rPr>
          <w:b w:val="0"/>
          <w:bCs w:val="0"/>
          <w:sz w:val="19"/>
          <w:szCs w:val="19"/>
        </w:rPr>
        <w:t>Data of registered births and deaths do not include Jerusalem ID holders. The number of live births registered in the West Bank in 2023 was 81,071 (41,749 males and 39,322 females).</w:t>
      </w:r>
    </w:p>
    <w:p w14:paraId="30658FF2" w14:textId="77777777" w:rsidR="00F93A55" w:rsidRPr="00927676" w:rsidRDefault="00F93A55" w:rsidP="00F93A55">
      <w:pPr>
        <w:pStyle w:val="BodyText2"/>
        <w:numPr>
          <w:ilvl w:val="0"/>
          <w:numId w:val="8"/>
        </w:numPr>
        <w:rPr>
          <w:b w:val="0"/>
          <w:bCs w:val="0"/>
          <w:sz w:val="19"/>
          <w:szCs w:val="19"/>
        </w:rPr>
      </w:pPr>
      <w:r w:rsidRPr="00927676">
        <w:rPr>
          <w:b w:val="0"/>
          <w:bCs w:val="0"/>
          <w:sz w:val="19"/>
          <w:szCs w:val="19"/>
        </w:rPr>
        <w:t>The number of registered deaths in 2023 in the West Bank is 8,038 (4,739 males and 3,299 females).</w:t>
      </w:r>
    </w:p>
    <w:p w14:paraId="64297FA4" w14:textId="77777777" w:rsidR="006609C6" w:rsidRPr="00B343CC" w:rsidRDefault="006609C6" w:rsidP="006609C6">
      <w:pPr>
        <w:pStyle w:val="BodyText2"/>
        <w:ind w:left="266"/>
        <w:jc w:val="center"/>
        <w:rPr>
          <w:b w:val="0"/>
          <w:bCs w:val="0"/>
          <w:sz w:val="20"/>
          <w:szCs w:val="20"/>
        </w:rPr>
      </w:pPr>
    </w:p>
    <w:p w14:paraId="27129A03" w14:textId="77777777" w:rsidR="006609C6" w:rsidRPr="00B343CC" w:rsidRDefault="006609C6" w:rsidP="006609C6">
      <w:pPr>
        <w:pStyle w:val="BodyText2"/>
        <w:jc w:val="center"/>
        <w:rPr>
          <w:sz w:val="20"/>
          <w:szCs w:val="20"/>
        </w:rPr>
      </w:pPr>
      <w:r w:rsidRPr="00B343CC">
        <w:rPr>
          <w:sz w:val="20"/>
          <w:szCs w:val="20"/>
        </w:rPr>
        <w:t>Crude Marriage Rate and Crude Divorce Rate in Palestine by Governorate, 2022</w:t>
      </w:r>
    </w:p>
    <w:p w14:paraId="0FAB19FE" w14:textId="77777777" w:rsidR="006609C6" w:rsidRPr="00B343CC" w:rsidRDefault="006609C6" w:rsidP="006609C6">
      <w:pPr>
        <w:bidi w:val="0"/>
        <w:jc w:val="both"/>
        <w:rPr>
          <w:rFonts w:cs="Times New Roman"/>
          <w:b/>
          <w:bCs/>
        </w:rPr>
      </w:pPr>
      <w:r w:rsidRPr="00B343CC">
        <w:rPr>
          <w:rFonts w:ascii="Arial" w:hAnsi="Arial" w:cs="Arial"/>
          <w:sz w:val="14"/>
          <w:szCs w:val="14"/>
          <w:rtl/>
        </w:rPr>
        <w:drawing>
          <wp:inline distT="0" distB="0" distL="0" distR="0" wp14:anchorId="0FE7DFED" wp14:editId="4CE91A3D">
            <wp:extent cx="4648200" cy="2887884"/>
            <wp:effectExtent l="0" t="0" r="0" b="825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210E1E4" w14:textId="77777777" w:rsidR="006609C6" w:rsidRPr="00B343CC" w:rsidRDefault="006609C6" w:rsidP="006609C6">
      <w:pPr>
        <w:bidi w:val="0"/>
        <w:jc w:val="both"/>
        <w:rPr>
          <w:rFonts w:cs="Times New Roman"/>
          <w:b/>
          <w:bCs/>
        </w:rPr>
      </w:pPr>
    </w:p>
    <w:p w14:paraId="026B8784" w14:textId="77777777" w:rsidR="00F93A55" w:rsidRPr="00927676" w:rsidRDefault="00F93A55" w:rsidP="00F93A55">
      <w:pPr>
        <w:bidi w:val="0"/>
        <w:jc w:val="both"/>
        <w:rPr>
          <w:rFonts w:cs="Times New Roman"/>
          <w:b/>
          <w:bCs/>
        </w:rPr>
      </w:pPr>
      <w:r w:rsidRPr="00927676">
        <w:rPr>
          <w:rFonts w:cs="Times New Roman"/>
          <w:b/>
          <w:bCs/>
        </w:rPr>
        <w:t>1.2 Gender</w:t>
      </w:r>
    </w:p>
    <w:p w14:paraId="723A8B39" w14:textId="77777777" w:rsidR="00F93A55" w:rsidRPr="00927676" w:rsidRDefault="00F93A55" w:rsidP="00F93A55">
      <w:pPr>
        <w:bidi w:val="0"/>
        <w:jc w:val="both"/>
        <w:rPr>
          <w:rFonts w:cs="Times New Roman"/>
          <w:b/>
          <w:bCs/>
          <w:rtl/>
        </w:rPr>
      </w:pPr>
      <w:r w:rsidRPr="00927676">
        <w:rPr>
          <w:rFonts w:cs="Times New Roman"/>
          <w:b/>
          <w:bCs/>
        </w:rPr>
        <w:t>1.2.1 Equality</w:t>
      </w:r>
    </w:p>
    <w:p w14:paraId="4AFBF35C"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Data of 2024 indicated that women's representation in decision-making positions in Palestine remains modest. The percentage of women in the Executive Committee of the Palestine Liberation Organization (PLO) was 0.0%, reaching 10.9% in the National Council and 29.1% in the Central Council. Women accounted for 9.1% of the Governors and 18.2% in the Council of Ministers (Cabinet), whereas their representation as the Heads of Local Councils did not exceed 1.2%. In the West Bank, their percentage in Judiciary was 25.6%, and 27.7% in the Public Prosecution.  In universities, women constituted 4.5% of Student Council Presidents and 32.2% of Student Council Members.</w:t>
      </w:r>
    </w:p>
    <w:p w14:paraId="3EB3DF52" w14:textId="77777777" w:rsidR="00F93A55" w:rsidRPr="00927676" w:rsidRDefault="00F93A55" w:rsidP="00F93A55">
      <w:pPr>
        <w:pStyle w:val="BodyText2"/>
        <w:numPr>
          <w:ilvl w:val="0"/>
          <w:numId w:val="8"/>
        </w:numPr>
        <w:jc w:val="both"/>
        <w:rPr>
          <w:b w:val="0"/>
          <w:bCs w:val="0"/>
          <w:sz w:val="19"/>
          <w:szCs w:val="19"/>
          <w:rtl/>
        </w:rPr>
      </w:pPr>
      <w:r w:rsidRPr="00927676">
        <w:rPr>
          <w:b w:val="0"/>
          <w:bCs w:val="0"/>
          <w:sz w:val="19"/>
          <w:szCs w:val="19"/>
        </w:rPr>
        <w:t xml:space="preserve">At the level of the Boards of Directors of Chambers of Commerce, Industry, and Agriculture, women represented 1.9% and 2.9% among the members of these chambers. Women in the Palestinian banking sector (excluding service staff) accounted for 39.8%. In the Palestinian capital market, there was </w:t>
      </w:r>
      <w:r>
        <w:rPr>
          <w:b w:val="0"/>
          <w:bCs w:val="0"/>
          <w:sz w:val="19"/>
          <w:szCs w:val="19"/>
        </w:rPr>
        <w:t>miner</w:t>
      </w:r>
      <w:r w:rsidRPr="00927676">
        <w:rPr>
          <w:b w:val="0"/>
          <w:bCs w:val="0"/>
          <w:sz w:val="19"/>
          <w:szCs w:val="19"/>
        </w:rPr>
        <w:t xml:space="preserve"> representation of women among the Directors or CEOs of companies registered within Palestine Capital Market Authority, with a percentage of 2.3%. In comparison, women made up 12.4% of the total number of members of Boards of Directors in these companies. </w:t>
      </w:r>
    </w:p>
    <w:p w14:paraId="295D8158" w14:textId="77777777" w:rsidR="006609C6" w:rsidRPr="00B343CC" w:rsidRDefault="006609C6" w:rsidP="006609C6">
      <w:pPr>
        <w:pStyle w:val="BodyText2"/>
        <w:jc w:val="center"/>
        <w:rPr>
          <w:b w:val="0"/>
          <w:bCs w:val="0"/>
          <w:sz w:val="20"/>
          <w:szCs w:val="20"/>
          <w:rtl/>
        </w:rPr>
      </w:pPr>
      <w:r w:rsidRPr="00B343CC">
        <w:rPr>
          <w:b w:val="0"/>
          <w:bCs w:val="0"/>
          <w:sz w:val="20"/>
          <w:szCs w:val="20"/>
          <w:rtl/>
        </w:rPr>
        <w:lastRenderedPageBreak/>
        <w:drawing>
          <wp:inline distT="0" distB="0" distL="0" distR="0" wp14:anchorId="31D54753" wp14:editId="5E1E101F">
            <wp:extent cx="4680000" cy="7165724"/>
            <wp:effectExtent l="0" t="0" r="635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opulation_En.png"/>
                    <pic:cNvPicPr/>
                  </pic:nvPicPr>
                  <pic:blipFill rotWithShape="1">
                    <a:blip r:embed="rId25">
                      <a:extLst>
                        <a:ext uri="{28A0092B-C50C-407E-A947-70E740481C1C}">
                          <a14:useLocalDpi xmlns:a14="http://schemas.microsoft.com/office/drawing/2010/main" val="0"/>
                        </a:ext>
                      </a:extLst>
                    </a:blip>
                    <a:srcRect l="11364" t="8105" r="11364" b="8105"/>
                    <a:stretch/>
                  </pic:blipFill>
                  <pic:spPr bwMode="auto">
                    <a:xfrm>
                      <a:off x="0" y="0"/>
                      <a:ext cx="4680000" cy="7165724"/>
                    </a:xfrm>
                    <a:prstGeom prst="rect">
                      <a:avLst/>
                    </a:prstGeom>
                    <a:ln>
                      <a:noFill/>
                    </a:ln>
                    <a:extLst>
                      <a:ext uri="{53640926-AAD7-44D8-BBD7-CCE9431645EC}">
                        <a14:shadowObscured xmlns:a14="http://schemas.microsoft.com/office/drawing/2010/main"/>
                      </a:ext>
                    </a:extLst>
                  </pic:spPr>
                </pic:pic>
              </a:graphicData>
            </a:graphic>
          </wp:inline>
        </w:drawing>
      </w:r>
    </w:p>
    <w:p w14:paraId="0337C5D8" w14:textId="77777777" w:rsidR="006609C6" w:rsidRPr="00B343CC" w:rsidRDefault="006609C6" w:rsidP="006609C6">
      <w:pPr>
        <w:pStyle w:val="BodyText2"/>
        <w:jc w:val="center"/>
        <w:rPr>
          <w:b w:val="0"/>
          <w:bCs w:val="0"/>
          <w:sz w:val="20"/>
          <w:szCs w:val="20"/>
          <w:rtl/>
        </w:rPr>
      </w:pPr>
      <w:r w:rsidRPr="00B343CC">
        <w:rPr>
          <w:b w:val="0"/>
          <w:bCs w:val="0"/>
          <w:sz w:val="20"/>
          <w:szCs w:val="20"/>
          <w:rtl/>
        </w:rPr>
        <w:lastRenderedPageBreak/>
        <w:drawing>
          <wp:inline distT="0" distB="0" distL="0" distR="0" wp14:anchorId="425D4E5A" wp14:editId="1093AB6A">
            <wp:extent cx="4680000" cy="7147693"/>
            <wp:effectExtent l="0" t="0" r="635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Marriage_En_01.png"/>
                    <pic:cNvPicPr/>
                  </pic:nvPicPr>
                  <pic:blipFill rotWithShape="1">
                    <a:blip r:embed="rId26">
                      <a:extLst>
                        <a:ext uri="{28A0092B-C50C-407E-A947-70E740481C1C}">
                          <a14:useLocalDpi xmlns:a14="http://schemas.microsoft.com/office/drawing/2010/main" val="0"/>
                        </a:ext>
                      </a:extLst>
                    </a:blip>
                    <a:srcRect l="11077" t="7853" r="11077" b="7853"/>
                    <a:stretch/>
                  </pic:blipFill>
                  <pic:spPr bwMode="auto">
                    <a:xfrm>
                      <a:off x="0" y="0"/>
                      <a:ext cx="4680000" cy="7147693"/>
                    </a:xfrm>
                    <a:prstGeom prst="rect">
                      <a:avLst/>
                    </a:prstGeom>
                    <a:ln>
                      <a:noFill/>
                    </a:ln>
                    <a:extLst>
                      <a:ext uri="{53640926-AAD7-44D8-BBD7-CCE9431645EC}">
                        <a14:shadowObscured xmlns:a14="http://schemas.microsoft.com/office/drawing/2010/main"/>
                      </a:ext>
                    </a:extLst>
                  </pic:spPr>
                </pic:pic>
              </a:graphicData>
            </a:graphic>
          </wp:inline>
        </w:drawing>
      </w:r>
    </w:p>
    <w:p w14:paraId="0DAD9DC7" w14:textId="77777777" w:rsidR="00E55315" w:rsidRPr="00B343CC" w:rsidRDefault="00E55315" w:rsidP="00E55315">
      <w:pPr>
        <w:pStyle w:val="BodyText2"/>
        <w:jc w:val="both"/>
        <w:rPr>
          <w:b w:val="0"/>
          <w:bCs w:val="0"/>
          <w:sz w:val="14"/>
          <w:szCs w:val="14"/>
        </w:rPr>
      </w:pPr>
    </w:p>
    <w:p w14:paraId="0F729E4D" w14:textId="77777777" w:rsidR="00F93A55" w:rsidRPr="00927676" w:rsidRDefault="00F93A55" w:rsidP="00F93A55">
      <w:pPr>
        <w:autoSpaceDE w:val="0"/>
        <w:autoSpaceDN w:val="0"/>
        <w:bidi w:val="0"/>
        <w:adjustRightInd w:val="0"/>
        <w:jc w:val="both"/>
        <w:rPr>
          <w:rFonts w:cs="Times New Roman"/>
          <w:b/>
          <w:bCs/>
        </w:rPr>
      </w:pPr>
      <w:r w:rsidRPr="00927676">
        <w:rPr>
          <w:rFonts w:cs="Times New Roman"/>
          <w:b/>
          <w:bCs/>
        </w:rPr>
        <w:t>1.2.2 Child</w:t>
      </w:r>
    </w:p>
    <w:p w14:paraId="3B2FBB80"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Children in Palestine constitute nearly half of the population, which means that investing in this segment of society is important to guarantee their rights and provide them with opportunities to live in dignity and safety. </w:t>
      </w:r>
    </w:p>
    <w:p w14:paraId="3138FAF0"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number of children under the age of eighteen, estimated in mid-2025 in Palestine, reached </w:t>
      </w:r>
      <w:r w:rsidRPr="00927676">
        <w:rPr>
          <w:b w:val="0"/>
          <w:bCs w:val="0"/>
          <w:sz w:val="19"/>
          <w:szCs w:val="19"/>
          <w:rtl/>
        </w:rPr>
        <w:t>2,334,253</w:t>
      </w:r>
      <w:r w:rsidRPr="00927676">
        <w:rPr>
          <w:b w:val="0"/>
          <w:bCs w:val="0"/>
          <w:sz w:val="19"/>
          <w:szCs w:val="19"/>
        </w:rPr>
        <w:t xml:space="preserve"> (</w:t>
      </w:r>
      <w:r w:rsidRPr="00927676">
        <w:rPr>
          <w:b w:val="0"/>
          <w:bCs w:val="0"/>
          <w:sz w:val="19"/>
          <w:szCs w:val="19"/>
          <w:rtl/>
        </w:rPr>
        <w:t>1,190,609</w:t>
      </w:r>
      <w:r w:rsidRPr="00927676">
        <w:rPr>
          <w:b w:val="0"/>
          <w:bCs w:val="0"/>
          <w:sz w:val="19"/>
          <w:szCs w:val="19"/>
        </w:rPr>
        <w:t xml:space="preserve"> males and </w:t>
      </w:r>
      <w:r w:rsidRPr="00927676">
        <w:rPr>
          <w:b w:val="0"/>
          <w:bCs w:val="0"/>
          <w:sz w:val="19"/>
          <w:szCs w:val="19"/>
          <w:rtl/>
        </w:rPr>
        <w:t xml:space="preserve">1,143,644 </w:t>
      </w:r>
      <w:r w:rsidRPr="00927676">
        <w:rPr>
          <w:b w:val="0"/>
          <w:bCs w:val="0"/>
          <w:sz w:val="19"/>
          <w:szCs w:val="19"/>
        </w:rPr>
        <w:t xml:space="preserve"> females).</w:t>
      </w:r>
    </w:p>
    <w:p w14:paraId="71FF9011" w14:textId="77777777" w:rsidR="00F93A55" w:rsidRPr="00927676" w:rsidRDefault="00F93A55" w:rsidP="00F93A55">
      <w:pPr>
        <w:bidi w:val="0"/>
        <w:rPr>
          <w:rFonts w:cs="Times New Roman"/>
          <w:b/>
          <w:bCs/>
          <w:rtl/>
        </w:rPr>
      </w:pPr>
    </w:p>
    <w:p w14:paraId="7446D5EE" w14:textId="77777777" w:rsidR="00F93A55" w:rsidRPr="00927676" w:rsidRDefault="00F93A55" w:rsidP="00F93A55">
      <w:pPr>
        <w:bidi w:val="0"/>
        <w:rPr>
          <w:rFonts w:cs="Times New Roman"/>
          <w:b/>
          <w:bCs/>
        </w:rPr>
      </w:pPr>
      <w:r w:rsidRPr="00927676">
        <w:rPr>
          <w:rFonts w:cs="Times New Roman"/>
          <w:b/>
          <w:bCs/>
        </w:rPr>
        <w:t>1.3  Health</w:t>
      </w:r>
    </w:p>
    <w:p w14:paraId="5C8A121B"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number of governmental and non-governmental hospitals in the West Bank reached 60 hospitals in 2024, with a capacity of </w:t>
      </w:r>
      <w:r w:rsidRPr="00927676">
        <w:rPr>
          <w:b w:val="0"/>
          <w:bCs w:val="0"/>
          <w:sz w:val="19"/>
          <w:szCs w:val="19"/>
          <w:rtl/>
        </w:rPr>
        <w:t>4,441</w:t>
      </w:r>
      <w:r w:rsidRPr="00927676">
        <w:rPr>
          <w:b w:val="0"/>
          <w:bCs w:val="0"/>
          <w:sz w:val="19"/>
          <w:szCs w:val="19"/>
        </w:rPr>
        <w:t xml:space="preserve"> beds.</w:t>
      </w:r>
    </w:p>
    <w:p w14:paraId="37E57F62"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Israeli aggression against Gaza Strip since October 2023 and the direct targeting of hospitals and the health sector led to 17 hospitals being out of service, while 19 hospitals remained partially operational (May 2025). The number of beds has also decreased to approximately 2,000, of which 850 may not be available due to the current circumstances.</w:t>
      </w:r>
    </w:p>
    <w:p w14:paraId="7A54A9D1"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In </w:t>
      </w:r>
      <w:r w:rsidRPr="00927676">
        <w:rPr>
          <w:b w:val="0"/>
          <w:bCs w:val="0"/>
          <w:sz w:val="19"/>
          <w:szCs w:val="19"/>
          <w:rtl/>
        </w:rPr>
        <w:t>2024</w:t>
      </w:r>
      <w:r w:rsidRPr="00927676">
        <w:rPr>
          <w:b w:val="0"/>
          <w:bCs w:val="0"/>
          <w:sz w:val="19"/>
          <w:szCs w:val="19"/>
        </w:rPr>
        <w:t xml:space="preserve">, the main cause of deaths among children under five in the West Bank was conditions in the prenatal period, which amounted to about </w:t>
      </w:r>
      <w:r w:rsidRPr="00927676">
        <w:rPr>
          <w:b w:val="0"/>
          <w:bCs w:val="0"/>
          <w:sz w:val="19"/>
          <w:szCs w:val="19"/>
          <w:rtl/>
        </w:rPr>
        <w:t>45.5</w:t>
      </w:r>
      <w:r w:rsidRPr="00927676">
        <w:rPr>
          <w:b w:val="0"/>
          <w:bCs w:val="0"/>
          <w:sz w:val="19"/>
          <w:szCs w:val="19"/>
        </w:rPr>
        <w:t xml:space="preserve">%, followed by congenital malformations with a percentage of </w:t>
      </w:r>
      <w:r w:rsidRPr="00927676">
        <w:rPr>
          <w:b w:val="0"/>
          <w:bCs w:val="0"/>
          <w:sz w:val="19"/>
          <w:szCs w:val="19"/>
          <w:rtl/>
        </w:rPr>
        <w:t>35.0</w:t>
      </w:r>
      <w:r w:rsidRPr="00927676">
        <w:rPr>
          <w:b w:val="0"/>
          <w:bCs w:val="0"/>
          <w:sz w:val="19"/>
          <w:szCs w:val="19"/>
        </w:rPr>
        <w:t>%</w:t>
      </w:r>
      <w:r w:rsidRPr="00927676">
        <w:rPr>
          <w:b w:val="0"/>
          <w:bCs w:val="0"/>
          <w:sz w:val="19"/>
          <w:szCs w:val="19"/>
          <w:rtl/>
        </w:rPr>
        <w:t>.</w:t>
      </w:r>
    </w:p>
    <w:p w14:paraId="1D03A140"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percentage of individuals 18 years and above who smoke one or more tobacco products (manufactured cigarettes, hand-rolled cigarettes, cigars, and water-pipes) in Palestine reached 31.3% of the total individuals aged 18 years and above in 2021 (40.1% in the West Bank, and 17.0% in Gaza Strip</w:t>
      </w:r>
      <w:r w:rsidRPr="00927676">
        <w:rPr>
          <w:b w:val="0"/>
          <w:bCs w:val="0"/>
          <w:sz w:val="19"/>
          <w:szCs w:val="19"/>
          <w:rtl/>
        </w:rPr>
        <w:t>.</w:t>
      </w:r>
      <w:r w:rsidRPr="00927676">
        <w:rPr>
          <w:b w:val="0"/>
          <w:bCs w:val="0"/>
          <w:sz w:val="19"/>
          <w:szCs w:val="19"/>
        </w:rPr>
        <w:t>)</w:t>
      </w:r>
    </w:p>
    <w:p w14:paraId="2F4DE480"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Data in 2019-2020 indicated that 8.7% of children under five suffer from stunting, 2.1% suffer from underweight, 1.3% suffer from wasting, and 8.6% suffer from gain among children</w:t>
      </w:r>
      <w:r w:rsidRPr="00927676">
        <w:rPr>
          <w:b w:val="0"/>
          <w:bCs w:val="0"/>
          <w:sz w:val="19"/>
          <w:szCs w:val="19"/>
          <w:rtl/>
        </w:rPr>
        <w:t>.</w:t>
      </w:r>
    </w:p>
    <w:p w14:paraId="5A43CA94" w14:textId="77777777" w:rsidR="00F93A55" w:rsidRPr="00F93A55" w:rsidRDefault="00F93A55" w:rsidP="00F93A55">
      <w:pPr>
        <w:pStyle w:val="BodyText2"/>
        <w:numPr>
          <w:ilvl w:val="0"/>
          <w:numId w:val="8"/>
        </w:numPr>
        <w:jc w:val="both"/>
        <w:rPr>
          <w:b w:val="0"/>
          <w:bCs w:val="0"/>
          <w:sz w:val="19"/>
          <w:szCs w:val="19"/>
          <w:rtl/>
        </w:rPr>
      </w:pPr>
      <w:r w:rsidRPr="00F93A55">
        <w:rPr>
          <w:b w:val="0"/>
          <w:bCs w:val="0"/>
          <w:sz w:val="19"/>
          <w:szCs w:val="19"/>
        </w:rPr>
        <w:t>The percentage of disability in Palestine reached 2.1% in 2017 (1.7% in the West Bank, and 2.6% in Gaza Strip), while this percentage was 2.0% in 2007 in Palestine (2.2% in the West Bank, and 1.8% in Gaza Strip). This is according to the narrow definition of disability, which includes a lot of difficulty, and can't  (carry out the function) at all</w:t>
      </w:r>
      <w:r w:rsidRPr="00F93A55">
        <w:rPr>
          <w:b w:val="0"/>
          <w:bCs w:val="0"/>
          <w:sz w:val="19"/>
          <w:szCs w:val="19"/>
          <w:rtl/>
        </w:rPr>
        <w:t>.</w:t>
      </w:r>
    </w:p>
    <w:p w14:paraId="75BF85ED" w14:textId="77777777" w:rsidR="00F93A55" w:rsidRPr="00927676" w:rsidRDefault="00F93A55" w:rsidP="00F93A55">
      <w:pPr>
        <w:bidi w:val="0"/>
        <w:ind w:left="142"/>
        <w:jc w:val="both"/>
        <w:rPr>
          <w:rFonts w:cs="Times New Roman"/>
          <w:b/>
          <w:bCs/>
        </w:rPr>
      </w:pPr>
    </w:p>
    <w:p w14:paraId="4F81C018" w14:textId="77777777" w:rsidR="00F93A55" w:rsidRPr="00927676" w:rsidRDefault="00F93A55" w:rsidP="00F93A55">
      <w:pPr>
        <w:pStyle w:val="ListParagraph"/>
        <w:numPr>
          <w:ilvl w:val="1"/>
          <w:numId w:val="16"/>
        </w:numPr>
        <w:bidi w:val="0"/>
        <w:ind w:left="426" w:hanging="426"/>
        <w:rPr>
          <w:b/>
          <w:bCs/>
          <w:sz w:val="20"/>
        </w:rPr>
      </w:pPr>
      <w:r w:rsidRPr="00927676">
        <w:rPr>
          <w:b/>
          <w:bCs/>
          <w:sz w:val="20"/>
        </w:rPr>
        <w:t>Labour and Wages</w:t>
      </w:r>
      <w:r w:rsidRPr="00927676">
        <w:rPr>
          <w:rStyle w:val="FootnoteReference"/>
          <w:b/>
          <w:bCs/>
          <w:sz w:val="20"/>
        </w:rPr>
        <w:footnoteReference w:id="1"/>
      </w:r>
    </w:p>
    <w:p w14:paraId="3FB3413E"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In 2024, the labor force participation rate in the West Bank for individuals (15 years and above) reached 46.0%, with 73.4% among males, and 17.8% among females. </w:t>
      </w:r>
    </w:p>
    <w:p w14:paraId="5ADAD046"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In 2024, the revised unemployment rate in the West Bank reached 31.4%, with 31.7% among males, and 30.1% among females. </w:t>
      </w:r>
    </w:p>
    <w:p w14:paraId="1774E4B9"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65.5% of workers from the West Bank are wage employees, and 96.0% of workers from the West Bank in Israel and Israeli settlements are wage employees.</w:t>
      </w:r>
    </w:p>
    <w:p w14:paraId="7A775822" w14:textId="77777777" w:rsidR="00F93A55" w:rsidRPr="00927676" w:rsidRDefault="00F93A55" w:rsidP="00F93A55">
      <w:pPr>
        <w:pStyle w:val="BodyText2"/>
        <w:numPr>
          <w:ilvl w:val="0"/>
          <w:numId w:val="8"/>
        </w:numPr>
        <w:jc w:val="both"/>
        <w:rPr>
          <w:b w:val="0"/>
          <w:bCs w:val="0"/>
          <w:sz w:val="19"/>
          <w:szCs w:val="19"/>
          <w:rtl/>
        </w:rPr>
      </w:pPr>
      <w:r w:rsidRPr="00927676">
        <w:rPr>
          <w:b w:val="0"/>
          <w:bCs w:val="0"/>
          <w:sz w:val="19"/>
          <w:szCs w:val="19"/>
        </w:rPr>
        <w:t>3.1% of children</w:t>
      </w:r>
      <w:r w:rsidRPr="00927676">
        <w:rPr>
          <w:b w:val="0"/>
          <w:bCs w:val="0"/>
          <w:sz w:val="19"/>
          <w:szCs w:val="19"/>
          <w:rtl/>
        </w:rPr>
        <w:t xml:space="preserve"> </w:t>
      </w:r>
      <w:r w:rsidRPr="00927676">
        <w:rPr>
          <w:b w:val="0"/>
          <w:bCs w:val="0"/>
          <w:sz w:val="19"/>
          <w:szCs w:val="19"/>
        </w:rPr>
        <w:t>(10-17 years) in the West Bank were employed.</w:t>
      </w:r>
    </w:p>
    <w:p w14:paraId="2E39DCDE" w14:textId="77777777" w:rsidR="008C05BD" w:rsidRPr="00B343CC" w:rsidRDefault="008C05BD" w:rsidP="008C05BD">
      <w:pPr>
        <w:jc w:val="center"/>
        <w:rPr>
          <w:rFonts w:cs="Times New Roman"/>
          <w:b/>
          <w:bCs/>
          <w:snapToGrid w:val="0"/>
          <w:rtl/>
        </w:rPr>
      </w:pPr>
    </w:p>
    <w:p w14:paraId="7CDAF7C1" w14:textId="77777777" w:rsidR="008C05BD" w:rsidRPr="00B343CC" w:rsidRDefault="008C05BD" w:rsidP="008C05BD">
      <w:pPr>
        <w:bidi w:val="0"/>
        <w:rPr>
          <w:rFonts w:cs="Times New Roman"/>
          <w:b/>
          <w:bCs/>
          <w:snapToGrid w:val="0"/>
          <w:rtl/>
        </w:rPr>
      </w:pPr>
      <w:r w:rsidRPr="00B343CC">
        <w:rPr>
          <w:rFonts w:cs="Times New Roman"/>
          <w:b/>
          <w:bCs/>
          <w:snapToGrid w:val="0"/>
          <w:rtl/>
        </w:rPr>
        <w:br w:type="page"/>
      </w:r>
    </w:p>
    <w:p w14:paraId="775F8F69" w14:textId="77777777" w:rsidR="008C05BD" w:rsidRPr="00B343CC" w:rsidRDefault="008C05BD" w:rsidP="008C05BD">
      <w:pPr>
        <w:jc w:val="center"/>
        <w:rPr>
          <w:rFonts w:cs="Times New Roman"/>
          <w:b/>
          <w:bCs/>
          <w:snapToGrid w:val="0"/>
        </w:rPr>
      </w:pPr>
      <w:r w:rsidRPr="00B343CC">
        <w:rPr>
          <w:rFonts w:cs="Times New Roman"/>
          <w:b/>
          <w:bCs/>
          <w:snapToGrid w:val="0"/>
        </w:rPr>
        <w:lastRenderedPageBreak/>
        <w:t>Percentage of Individuals (15 Years and Above) in the West Bank by Labour Force Status and Age Groups, 2024</w:t>
      </w:r>
    </w:p>
    <w:p w14:paraId="280DA95B" w14:textId="53270D37" w:rsidR="008C05BD" w:rsidRPr="00B343CC" w:rsidRDefault="008C05BD" w:rsidP="008C05BD">
      <w:pPr>
        <w:jc w:val="center"/>
        <w:rPr>
          <w:rFonts w:cs="Times New Roman"/>
          <w:b/>
          <w:bCs/>
        </w:rPr>
      </w:pPr>
      <w:r w:rsidRPr="00B343CC">
        <w:rPr>
          <w:rFonts w:cs="Times New Roman"/>
          <w:b/>
          <w:bCs/>
          <w:bdr w:val="single" w:sz="4" w:space="0" w:color="auto"/>
          <w:vertAlign w:val="subscript"/>
        </w:rPr>
        <w:drawing>
          <wp:inline distT="0" distB="0" distL="0" distR="0" wp14:anchorId="23415A77" wp14:editId="172CB0A2">
            <wp:extent cx="4635500" cy="2260600"/>
            <wp:effectExtent l="0" t="0" r="0" b="0"/>
            <wp:docPr id="241" name="Chart 24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F26C56D" w14:textId="77777777" w:rsidR="008C05BD" w:rsidRPr="00B343CC" w:rsidRDefault="008C05BD" w:rsidP="008C05BD">
      <w:pPr>
        <w:jc w:val="center"/>
        <w:rPr>
          <w:rFonts w:cs="Times New Roman"/>
          <w:b/>
          <w:bCs/>
          <w:snapToGrid w:val="0"/>
        </w:rPr>
      </w:pPr>
    </w:p>
    <w:p w14:paraId="61071E97" w14:textId="77777777" w:rsidR="00F93A55" w:rsidRPr="00927676" w:rsidRDefault="00F93A55" w:rsidP="00F93A55">
      <w:pPr>
        <w:pStyle w:val="ListParagraph"/>
        <w:numPr>
          <w:ilvl w:val="1"/>
          <w:numId w:val="16"/>
        </w:numPr>
        <w:bidi w:val="0"/>
        <w:ind w:left="426" w:hanging="426"/>
        <w:rPr>
          <w:rFonts w:cs="Times New Roman"/>
          <w:b/>
          <w:bCs/>
          <w:sz w:val="20"/>
        </w:rPr>
      </w:pPr>
      <w:r w:rsidRPr="00927676">
        <w:rPr>
          <w:rFonts w:cs="Times New Roman"/>
          <w:b/>
          <w:bCs/>
          <w:sz w:val="20"/>
        </w:rPr>
        <w:t>Living Standards</w:t>
      </w:r>
      <w:r w:rsidRPr="00927676">
        <w:rPr>
          <w:rStyle w:val="FootnoteReference"/>
          <w:b/>
          <w:bCs/>
          <w:sz w:val="20"/>
        </w:rPr>
        <w:footnoteReference w:id="2"/>
      </w:r>
    </w:p>
    <w:p w14:paraId="692D809D" w14:textId="77777777" w:rsidR="00F93A55" w:rsidRPr="00927676" w:rsidRDefault="00F93A55" w:rsidP="00F93A55">
      <w:pPr>
        <w:bidi w:val="0"/>
        <w:rPr>
          <w:rFonts w:cs="Times New Roman"/>
          <w:b/>
          <w:bCs/>
        </w:rPr>
      </w:pPr>
      <w:r w:rsidRPr="00927676">
        <w:rPr>
          <w:rFonts w:cs="Times New Roman"/>
          <w:b/>
          <w:bCs/>
        </w:rPr>
        <w:t>Expenditure Indicators in Gaza Strip</w:t>
      </w:r>
    </w:p>
    <w:p w14:paraId="11ABE73F"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Average monthly expenditure per capita in Gaza Strip was JD 96.6. Monthly expenditure per capita on food groups was JD 35.1, while total average monthly expenditure per capita on non-food groups was JD 61.5. Regarding the share of total expenditure on food groups, it was 36.3% in Gaza Strip, during the first three quarters (January – September) of 2023.</w:t>
      </w:r>
    </w:p>
    <w:p w14:paraId="0AD3180F" w14:textId="77777777" w:rsidR="00F93A55" w:rsidRPr="00927676" w:rsidRDefault="00F93A55" w:rsidP="00F93A55">
      <w:pPr>
        <w:bidi w:val="0"/>
        <w:jc w:val="both"/>
        <w:rPr>
          <w:rFonts w:cs="Times New Roman"/>
          <w:b/>
          <w:bCs/>
        </w:rPr>
      </w:pPr>
      <w:r w:rsidRPr="00927676">
        <w:rPr>
          <w:rFonts w:cs="Times New Roman"/>
          <w:b/>
          <w:bCs/>
        </w:rPr>
        <w:t xml:space="preserve">Poverty Indicators in Gaza Strip </w:t>
      </w:r>
    </w:p>
    <w:p w14:paraId="5F4EA574"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Poverty percentage among individuals in Gaza Strip according to monthly consumption patterns reached 63.6% during the first three quarters (January – September) of 2023. According to deep poverty, the percentage of individuals who suffered from deep poverty was 43.5%.</w:t>
      </w:r>
    </w:p>
    <w:p w14:paraId="672E4135" w14:textId="77777777" w:rsidR="00F93A55" w:rsidRPr="00927676" w:rsidRDefault="00F93A55" w:rsidP="00F93A55">
      <w:pPr>
        <w:bidi w:val="0"/>
        <w:jc w:val="both"/>
        <w:rPr>
          <w:rFonts w:cs="Times New Roman"/>
          <w:b/>
          <w:bCs/>
        </w:rPr>
      </w:pPr>
      <w:r w:rsidRPr="00927676">
        <w:rPr>
          <w:rFonts w:cs="Times New Roman"/>
          <w:b/>
          <w:bCs/>
        </w:rPr>
        <w:t>Expenditure Indicators in the West Bank</w:t>
      </w:r>
    </w:p>
    <w:p w14:paraId="748887EF"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Average monthly expenditure per capita in the West Bank was JD 263.0. Monthly expenditure per capita on food groups was JD 80.0, while the total average monthly expenditure per capita on non-food groups was JD 183.0. Regarding the share of total expenditure on food groups, it was 30.4% in 2023.</w:t>
      </w:r>
    </w:p>
    <w:p w14:paraId="34D3DB6E" w14:textId="77777777" w:rsidR="00F93A55" w:rsidRPr="00927676" w:rsidRDefault="00F93A55" w:rsidP="00F93A55">
      <w:pPr>
        <w:bidi w:val="0"/>
        <w:jc w:val="both"/>
        <w:rPr>
          <w:rFonts w:cs="Times New Roman"/>
          <w:b/>
          <w:bCs/>
        </w:rPr>
      </w:pPr>
      <w:r w:rsidRPr="00927676">
        <w:rPr>
          <w:rFonts w:cs="Times New Roman"/>
          <w:b/>
          <w:bCs/>
        </w:rPr>
        <w:t>Poverty Indicators in the West Bank</w:t>
      </w:r>
    </w:p>
    <w:p w14:paraId="3E95CB53" w14:textId="77777777" w:rsidR="00F93A55" w:rsidRPr="00927676" w:rsidRDefault="00F93A55" w:rsidP="00F93A55">
      <w:pPr>
        <w:pStyle w:val="BodyText2"/>
        <w:numPr>
          <w:ilvl w:val="0"/>
          <w:numId w:val="8"/>
        </w:numPr>
        <w:jc w:val="both"/>
        <w:rPr>
          <w:b w:val="0"/>
          <w:bCs w:val="0"/>
          <w:sz w:val="20"/>
          <w:szCs w:val="20"/>
        </w:rPr>
      </w:pPr>
      <w:r w:rsidRPr="00927676">
        <w:rPr>
          <w:b w:val="0"/>
          <w:bCs w:val="0"/>
          <w:sz w:val="19"/>
          <w:szCs w:val="19"/>
        </w:rPr>
        <w:t>Poverty percentage among individuals in the West Bank according to monthly consumption patterns was 11.5% in 2023. According to deep poverty, data indicated that 4.3% of individuals in the West Bank were suffering from deep poverty in 2023.</w:t>
      </w:r>
    </w:p>
    <w:p w14:paraId="13A60A1E" w14:textId="77777777" w:rsidR="00F93A55" w:rsidRPr="00927676" w:rsidRDefault="00F93A55" w:rsidP="00F93A55">
      <w:pPr>
        <w:bidi w:val="0"/>
        <w:jc w:val="both"/>
        <w:rPr>
          <w:rFonts w:cs="Times New Roman"/>
        </w:rPr>
      </w:pPr>
    </w:p>
    <w:p w14:paraId="63DEE801" w14:textId="77777777" w:rsidR="00F93A55" w:rsidRPr="00927676" w:rsidRDefault="00F93A55" w:rsidP="00F93A55">
      <w:pPr>
        <w:pStyle w:val="ListParagraph"/>
        <w:numPr>
          <w:ilvl w:val="1"/>
          <w:numId w:val="16"/>
        </w:numPr>
        <w:bidi w:val="0"/>
        <w:ind w:left="284" w:hanging="284"/>
        <w:rPr>
          <w:rFonts w:cs="Times New Roman"/>
          <w:b/>
          <w:bCs/>
          <w:sz w:val="20"/>
        </w:rPr>
      </w:pPr>
      <w:r w:rsidRPr="00927676">
        <w:rPr>
          <w:rFonts w:cs="Times New Roman"/>
          <w:b/>
          <w:bCs/>
          <w:sz w:val="20"/>
        </w:rPr>
        <w:t>Education and Culture</w:t>
      </w:r>
    </w:p>
    <w:p w14:paraId="797756A9" w14:textId="77777777" w:rsidR="00F93A55" w:rsidRPr="00927676" w:rsidRDefault="00F93A55" w:rsidP="00F93A55">
      <w:pPr>
        <w:bidi w:val="0"/>
        <w:rPr>
          <w:rFonts w:cs="Times New Roman"/>
          <w:b/>
          <w:bCs/>
        </w:rPr>
      </w:pPr>
      <w:r w:rsidRPr="00927676">
        <w:rPr>
          <w:rFonts w:cs="Times New Roman"/>
          <w:b/>
          <w:bCs/>
        </w:rPr>
        <w:t>1.6.1 Education</w:t>
      </w:r>
    </w:p>
    <w:p w14:paraId="72448B9A"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total number of schools in the West Bank in </w:t>
      </w:r>
      <w:r w:rsidRPr="00927676">
        <w:rPr>
          <w:b w:val="0"/>
          <w:bCs w:val="0"/>
          <w:sz w:val="19"/>
          <w:szCs w:val="19"/>
          <w:rtl/>
        </w:rPr>
        <w:t>2024</w:t>
      </w:r>
      <w:r w:rsidRPr="00927676">
        <w:rPr>
          <w:b w:val="0"/>
          <w:bCs w:val="0"/>
          <w:sz w:val="19"/>
          <w:szCs w:val="19"/>
        </w:rPr>
        <w:t>/</w:t>
      </w:r>
      <w:r w:rsidRPr="00927676">
        <w:rPr>
          <w:b w:val="0"/>
          <w:bCs w:val="0"/>
          <w:sz w:val="19"/>
          <w:szCs w:val="19"/>
          <w:rtl/>
        </w:rPr>
        <w:t>2025</w:t>
      </w:r>
      <w:r w:rsidRPr="00927676">
        <w:rPr>
          <w:b w:val="0"/>
          <w:bCs w:val="0"/>
          <w:sz w:val="19"/>
          <w:szCs w:val="19"/>
        </w:rPr>
        <w:t xml:space="preserve"> was 2,474 </w:t>
      </w:r>
    </w:p>
    <w:p w14:paraId="4AAC76AD"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total  number of students in the West Bank was </w:t>
      </w:r>
      <w:r w:rsidRPr="00927676">
        <w:rPr>
          <w:b w:val="0"/>
          <w:bCs w:val="0"/>
          <w:sz w:val="19"/>
          <w:szCs w:val="19"/>
          <w:rtl/>
        </w:rPr>
        <w:t>813</w:t>
      </w:r>
      <w:r w:rsidRPr="00927676">
        <w:rPr>
          <w:b w:val="0"/>
          <w:bCs w:val="0"/>
          <w:sz w:val="19"/>
          <w:szCs w:val="19"/>
        </w:rPr>
        <w:t>,</w:t>
      </w:r>
      <w:r w:rsidRPr="00927676">
        <w:rPr>
          <w:b w:val="0"/>
          <w:bCs w:val="0"/>
          <w:sz w:val="19"/>
          <w:szCs w:val="19"/>
          <w:rtl/>
        </w:rPr>
        <w:t>136</w:t>
      </w:r>
      <w:r w:rsidRPr="00927676">
        <w:rPr>
          <w:b w:val="0"/>
          <w:bCs w:val="0"/>
          <w:sz w:val="19"/>
          <w:szCs w:val="19"/>
        </w:rPr>
        <w:t xml:space="preserve"> students (6</w:t>
      </w:r>
      <w:r w:rsidRPr="00927676">
        <w:rPr>
          <w:b w:val="0"/>
          <w:bCs w:val="0"/>
          <w:sz w:val="19"/>
          <w:szCs w:val="19"/>
          <w:rtl/>
        </w:rPr>
        <w:t>56</w:t>
      </w:r>
      <w:r w:rsidRPr="00927676">
        <w:rPr>
          <w:b w:val="0"/>
          <w:bCs w:val="0"/>
          <w:sz w:val="19"/>
          <w:szCs w:val="19"/>
        </w:rPr>
        <w:t>,</w:t>
      </w:r>
      <w:r w:rsidRPr="00927676">
        <w:rPr>
          <w:b w:val="0"/>
          <w:bCs w:val="0"/>
          <w:sz w:val="19"/>
          <w:szCs w:val="19"/>
          <w:rtl/>
        </w:rPr>
        <w:t>471</w:t>
      </w:r>
      <w:r w:rsidRPr="00927676">
        <w:rPr>
          <w:b w:val="0"/>
          <w:bCs w:val="0"/>
          <w:sz w:val="19"/>
          <w:szCs w:val="19"/>
        </w:rPr>
        <w:t xml:space="preserve"> students at the basic stage and 156,665 students at the secondary stage).</w:t>
      </w:r>
    </w:p>
    <w:p w14:paraId="55519BB2"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average number of students per class in the West Bank in the basic stage by supervisory authority was 27.6 in government schools, 34.5 in UNRWA schools, and 24.3 in private </w:t>
      </w:r>
      <w:r w:rsidRPr="00927676">
        <w:rPr>
          <w:b w:val="0"/>
          <w:bCs w:val="0"/>
          <w:sz w:val="19"/>
          <w:szCs w:val="19"/>
        </w:rPr>
        <w:lastRenderedPageBreak/>
        <w:t>schools. The average number of students per class in the secondary stage was 24.3 in public schools, 29.7 in UNRWA schools, and 21.0 in private schools.</w:t>
      </w:r>
    </w:p>
    <w:p w14:paraId="36CED521" w14:textId="77777777" w:rsidR="00F93A55" w:rsidRPr="00927676" w:rsidRDefault="00F93A55" w:rsidP="00F93A55">
      <w:pPr>
        <w:bidi w:val="0"/>
        <w:jc w:val="both"/>
        <w:rPr>
          <w:rFonts w:cs="Times New Roman"/>
          <w:b/>
          <w:bCs/>
        </w:rPr>
      </w:pPr>
    </w:p>
    <w:p w14:paraId="37D3282F" w14:textId="77777777" w:rsidR="00F93A55" w:rsidRPr="00927676" w:rsidRDefault="00F93A55" w:rsidP="00F93A55">
      <w:pPr>
        <w:bidi w:val="0"/>
        <w:jc w:val="both"/>
        <w:rPr>
          <w:rFonts w:cs="Times New Roman"/>
          <w:b/>
          <w:bCs/>
        </w:rPr>
      </w:pPr>
      <w:r w:rsidRPr="00927676">
        <w:rPr>
          <w:rFonts w:cs="Times New Roman"/>
          <w:b/>
          <w:bCs/>
        </w:rPr>
        <w:t>1.6.2 Culture</w:t>
      </w:r>
      <w:r w:rsidRPr="00927676">
        <w:rPr>
          <w:rFonts w:cs="Times New Roman"/>
          <w:b/>
          <w:bCs/>
        </w:rPr>
        <w:tab/>
        <w:t xml:space="preserve">                              </w:t>
      </w:r>
    </w:p>
    <w:p w14:paraId="3AB95AB5" w14:textId="71C1452C" w:rsidR="00F93A55" w:rsidRDefault="00F93A55" w:rsidP="00F93A55">
      <w:pPr>
        <w:pStyle w:val="BodyText2"/>
        <w:numPr>
          <w:ilvl w:val="0"/>
          <w:numId w:val="8"/>
        </w:numPr>
        <w:jc w:val="both"/>
        <w:rPr>
          <w:b w:val="0"/>
          <w:bCs w:val="0"/>
          <w:sz w:val="19"/>
          <w:szCs w:val="19"/>
        </w:rPr>
      </w:pPr>
      <w:r w:rsidRPr="00927676">
        <w:rPr>
          <w:b w:val="0"/>
          <w:bCs w:val="0"/>
          <w:sz w:val="19"/>
          <w:szCs w:val="19"/>
        </w:rPr>
        <w:t xml:space="preserve">In </w:t>
      </w:r>
      <w:r w:rsidRPr="00927676">
        <w:rPr>
          <w:b w:val="0"/>
          <w:bCs w:val="0"/>
          <w:sz w:val="19"/>
          <w:szCs w:val="19"/>
          <w:rtl/>
        </w:rPr>
        <w:t>2024</w:t>
      </w:r>
      <w:r w:rsidRPr="00927676">
        <w:rPr>
          <w:b w:val="0"/>
          <w:bCs w:val="0"/>
          <w:sz w:val="19"/>
          <w:szCs w:val="19"/>
        </w:rPr>
        <w:t xml:space="preserve">, there were </w:t>
      </w:r>
      <w:r w:rsidRPr="00927676">
        <w:rPr>
          <w:b w:val="0"/>
          <w:bCs w:val="0"/>
          <w:sz w:val="19"/>
          <w:szCs w:val="19"/>
          <w:rtl/>
        </w:rPr>
        <w:t>492</w:t>
      </w:r>
      <w:r w:rsidRPr="00927676">
        <w:rPr>
          <w:b w:val="0"/>
          <w:bCs w:val="0"/>
          <w:sz w:val="19"/>
          <w:szCs w:val="19"/>
        </w:rPr>
        <w:t xml:space="preserve"> operating cultural centers and </w:t>
      </w:r>
      <w:r w:rsidRPr="00927676">
        <w:rPr>
          <w:b w:val="0"/>
          <w:bCs w:val="0"/>
          <w:sz w:val="19"/>
          <w:szCs w:val="19"/>
          <w:rtl/>
        </w:rPr>
        <w:t>26</w:t>
      </w:r>
      <w:r w:rsidRPr="00927676">
        <w:rPr>
          <w:b w:val="0"/>
          <w:bCs w:val="0"/>
          <w:sz w:val="19"/>
          <w:szCs w:val="19"/>
        </w:rPr>
        <w:t xml:space="preserve"> operating museums in the West Bank.</w:t>
      </w:r>
    </w:p>
    <w:p w14:paraId="1E879136" w14:textId="77777777" w:rsidR="00F93A55" w:rsidRPr="00927676" w:rsidRDefault="00F93A55" w:rsidP="00F93A55">
      <w:pPr>
        <w:pStyle w:val="BodyText2"/>
        <w:ind w:left="360"/>
        <w:jc w:val="both"/>
        <w:rPr>
          <w:b w:val="0"/>
          <w:bCs w:val="0"/>
          <w:sz w:val="19"/>
          <w:szCs w:val="19"/>
        </w:rPr>
      </w:pPr>
    </w:p>
    <w:p w14:paraId="2258BC90" w14:textId="77777777" w:rsidR="00164851" w:rsidRPr="00B343CC" w:rsidRDefault="00164851" w:rsidP="00164851">
      <w:pPr>
        <w:bidi w:val="0"/>
        <w:jc w:val="center"/>
        <w:rPr>
          <w:rFonts w:cs="Times New Roman"/>
          <w:b/>
          <w:bCs/>
        </w:rPr>
      </w:pPr>
      <w:r w:rsidRPr="00B343CC">
        <w:rPr>
          <w:rFonts w:cs="Times New Roman"/>
          <w:b/>
          <w:bCs/>
        </w:rPr>
        <w:t>Audience of Stage Shows in the West Bank by Month, 2024</w:t>
      </w:r>
    </w:p>
    <w:p w14:paraId="1DACED0B" w14:textId="621ED191" w:rsidR="006609C6" w:rsidRPr="00B343CC" w:rsidRDefault="00164851" w:rsidP="00023577">
      <w:pPr>
        <w:bidi w:val="0"/>
        <w:rPr>
          <w:rFonts w:cs="Times New Roman"/>
          <w:b/>
          <w:bCs/>
          <w:rtl/>
        </w:rPr>
      </w:pPr>
      <w:r w:rsidRPr="00B343CC">
        <w:rPr>
          <w:rFonts w:cs="Times New Roman"/>
        </w:rPr>
        <w:drawing>
          <wp:inline distT="0" distB="0" distL="0" distR="0" wp14:anchorId="535A8BDB" wp14:editId="0B4F1594">
            <wp:extent cx="4635500" cy="1853250"/>
            <wp:effectExtent l="0" t="0" r="12700" b="13970"/>
            <wp:docPr id="21" name="Char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DA8E257" w14:textId="77777777" w:rsidR="006609C6" w:rsidRPr="00B343CC" w:rsidRDefault="006609C6" w:rsidP="006609C6">
      <w:pPr>
        <w:pStyle w:val="ListParagraph"/>
        <w:bidi w:val="0"/>
        <w:ind w:left="0"/>
        <w:jc w:val="center"/>
        <w:rPr>
          <w:sz w:val="20"/>
          <w:rtl/>
        </w:rPr>
      </w:pPr>
      <w:r w:rsidRPr="00B343CC">
        <w:rPr>
          <w:sz w:val="20"/>
          <w:rtl/>
        </w:rPr>
        <w:lastRenderedPageBreak/>
        <w:drawing>
          <wp:inline distT="0" distB="0" distL="0" distR="0" wp14:anchorId="17E079F3" wp14:editId="2A4045AA">
            <wp:extent cx="4305300" cy="6497896"/>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Education_En.png"/>
                    <pic:cNvPicPr/>
                  </pic:nvPicPr>
                  <pic:blipFill rotWithShape="1">
                    <a:blip r:embed="rId29">
                      <a:extLst>
                        <a:ext uri="{28A0092B-C50C-407E-A947-70E740481C1C}">
                          <a14:useLocalDpi xmlns:a14="http://schemas.microsoft.com/office/drawing/2010/main" val="0"/>
                        </a:ext>
                      </a:extLst>
                    </a:blip>
                    <a:srcRect l="9399" t="6597" r="9399" b="6597"/>
                    <a:stretch/>
                  </pic:blipFill>
                  <pic:spPr bwMode="auto">
                    <a:xfrm>
                      <a:off x="0" y="0"/>
                      <a:ext cx="4309793" cy="6504678"/>
                    </a:xfrm>
                    <a:prstGeom prst="rect">
                      <a:avLst/>
                    </a:prstGeom>
                    <a:ln>
                      <a:noFill/>
                    </a:ln>
                    <a:extLst>
                      <a:ext uri="{53640926-AAD7-44D8-BBD7-CCE9431645EC}">
                        <a14:shadowObscured xmlns:a14="http://schemas.microsoft.com/office/drawing/2010/main"/>
                      </a:ext>
                    </a:extLst>
                  </pic:spPr>
                </pic:pic>
              </a:graphicData>
            </a:graphic>
          </wp:inline>
        </w:drawing>
      </w:r>
    </w:p>
    <w:p w14:paraId="330009CF" w14:textId="77777777" w:rsidR="006609C6" w:rsidRPr="00B343CC" w:rsidRDefault="006609C6" w:rsidP="006609C6">
      <w:pPr>
        <w:bidi w:val="0"/>
        <w:jc w:val="center"/>
        <w:rPr>
          <w:rFonts w:cs="Simplified Arabic"/>
          <w:b/>
          <w:bCs/>
        </w:rPr>
      </w:pPr>
      <w:r w:rsidRPr="00B343CC">
        <w:rPr>
          <w:b/>
          <w:bCs/>
        </w:rPr>
        <w:lastRenderedPageBreak/>
        <w:drawing>
          <wp:inline distT="0" distB="0" distL="0" distR="0" wp14:anchorId="08F9C439" wp14:editId="0FB01AA3">
            <wp:extent cx="4377208" cy="6677025"/>
            <wp:effectExtent l="0" t="0" r="4445"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Cultural_En.mxd_01.png"/>
                    <pic:cNvPicPr/>
                  </pic:nvPicPr>
                  <pic:blipFill rotWithShape="1">
                    <a:blip r:embed="rId30">
                      <a:extLst>
                        <a:ext uri="{28A0092B-C50C-407E-A947-70E740481C1C}">
                          <a14:useLocalDpi xmlns:a14="http://schemas.microsoft.com/office/drawing/2010/main" val="0"/>
                        </a:ext>
                      </a:extLst>
                    </a:blip>
                    <a:srcRect l="10669" t="7498" r="10669" b="7498"/>
                    <a:stretch/>
                  </pic:blipFill>
                  <pic:spPr bwMode="auto">
                    <a:xfrm>
                      <a:off x="0" y="0"/>
                      <a:ext cx="4380018" cy="6681312"/>
                    </a:xfrm>
                    <a:prstGeom prst="rect">
                      <a:avLst/>
                    </a:prstGeom>
                    <a:ln>
                      <a:noFill/>
                    </a:ln>
                    <a:extLst>
                      <a:ext uri="{53640926-AAD7-44D8-BBD7-CCE9431645EC}">
                        <a14:shadowObscured xmlns:a14="http://schemas.microsoft.com/office/drawing/2010/main"/>
                      </a:ext>
                    </a:extLst>
                  </pic:spPr>
                </pic:pic>
              </a:graphicData>
            </a:graphic>
          </wp:inline>
        </w:drawing>
      </w:r>
      <w:r w:rsidRPr="00B343CC">
        <w:rPr>
          <w:b/>
          <w:bCs/>
        </w:rPr>
        <w:br w:type="page"/>
      </w:r>
    </w:p>
    <w:p w14:paraId="128D2FF4" w14:textId="77777777" w:rsidR="00F93A55" w:rsidRPr="00927676" w:rsidRDefault="00F93A55" w:rsidP="00F93A55">
      <w:pPr>
        <w:pStyle w:val="ListParagraph"/>
        <w:numPr>
          <w:ilvl w:val="1"/>
          <w:numId w:val="16"/>
        </w:numPr>
        <w:bidi w:val="0"/>
        <w:ind w:left="284" w:hanging="284"/>
        <w:rPr>
          <w:b/>
          <w:bCs/>
          <w:sz w:val="20"/>
        </w:rPr>
      </w:pPr>
      <w:r w:rsidRPr="00927676">
        <w:rPr>
          <w:b/>
          <w:bCs/>
          <w:sz w:val="20"/>
        </w:rPr>
        <w:lastRenderedPageBreak/>
        <w:t>Information Society</w:t>
      </w:r>
    </w:p>
    <w:p w14:paraId="4D75711E" w14:textId="77777777" w:rsidR="00F93A55" w:rsidRPr="00927676" w:rsidRDefault="00F93A55" w:rsidP="00F93A55">
      <w:pPr>
        <w:tabs>
          <w:tab w:val="left" w:pos="3055"/>
          <w:tab w:val="right" w:pos="7371"/>
        </w:tabs>
        <w:bidi w:val="0"/>
        <w:rPr>
          <w:rFonts w:cs="Times New Roman"/>
          <w:b/>
          <w:bCs/>
        </w:rPr>
      </w:pPr>
      <w:r w:rsidRPr="00927676">
        <w:rPr>
          <w:rFonts w:cs="Times New Roman"/>
          <w:b/>
          <w:bCs/>
        </w:rPr>
        <w:t>1.7.1 Availability of ICT Tools</w:t>
      </w:r>
    </w:p>
    <w:p w14:paraId="2D815EB2"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29.1% of households in Palestine had a computer (Desktop, Laptop, Tablet) in 2023 (35.5% in the West Bank and 18.2% in Gaza Strip).</w:t>
      </w:r>
    </w:p>
    <w:p w14:paraId="571AA17D"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93.5% of households in Palestine had Internet service at home in 2023 (94.0% in the West Bank and 92.6% in Gaza Strip).</w:t>
      </w:r>
    </w:p>
    <w:p w14:paraId="33B2158C"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98.0% of households in Palestine have one or more mobile phones (98.1% in the West Bank and 97.8% in Gaza Strip).</w:t>
      </w:r>
    </w:p>
    <w:p w14:paraId="51F16D3B"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percentage of households in Palestine that one of its members has a smartphone reached 94.0%  in 2023 (95.2% in the West Bank and 92.0% in Gaza Strip).</w:t>
      </w:r>
    </w:p>
    <w:p w14:paraId="35F85450" w14:textId="77777777" w:rsidR="00F93A55" w:rsidRPr="00927676" w:rsidRDefault="00F93A55" w:rsidP="00F93A55">
      <w:pPr>
        <w:pStyle w:val="BodyText2"/>
        <w:ind w:left="360"/>
        <w:jc w:val="both"/>
        <w:rPr>
          <w:b w:val="0"/>
          <w:bCs w:val="0"/>
          <w:sz w:val="19"/>
          <w:szCs w:val="19"/>
        </w:rPr>
      </w:pPr>
    </w:p>
    <w:p w14:paraId="12C75FC6" w14:textId="77777777" w:rsidR="00F93A55" w:rsidRPr="00927676" w:rsidRDefault="00F93A55" w:rsidP="00F93A55">
      <w:pPr>
        <w:tabs>
          <w:tab w:val="left" w:pos="3055"/>
          <w:tab w:val="right" w:pos="7371"/>
        </w:tabs>
        <w:bidi w:val="0"/>
        <w:rPr>
          <w:rFonts w:cs="Times New Roman"/>
          <w:b/>
          <w:bCs/>
        </w:rPr>
      </w:pPr>
      <w:r w:rsidRPr="00927676">
        <w:rPr>
          <w:rFonts w:cs="Times New Roman"/>
          <w:b/>
          <w:bCs/>
        </w:rPr>
        <w:t>1.7.2 Using the Internet</w:t>
      </w:r>
      <w:r w:rsidRPr="00927676">
        <w:rPr>
          <w:rFonts w:cs="Times New Roman"/>
          <w:b/>
          <w:bCs/>
          <w:rtl/>
        </w:rPr>
        <w:t>:</w:t>
      </w:r>
    </w:p>
    <w:p w14:paraId="05B1F930"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percentage of individuals (10 years and above) who used the internet from anywhere reached 86.6% in Palestine in 2023 (91.1% in the West Bank and 79.8% in Gaza Strip). This percentage reached 87.0% among males and 86.3% among females. </w:t>
      </w:r>
    </w:p>
    <w:p w14:paraId="17B15A24" w14:textId="77777777" w:rsidR="00F93A55" w:rsidRPr="00927676" w:rsidRDefault="00F93A55" w:rsidP="00F93A55">
      <w:pPr>
        <w:pStyle w:val="Header"/>
        <w:numPr>
          <w:ilvl w:val="0"/>
          <w:numId w:val="8"/>
        </w:numPr>
        <w:bidi w:val="0"/>
        <w:jc w:val="both"/>
        <w:outlineLvl w:val="0"/>
        <w:rPr>
          <w:rFonts w:cs="Times New Roman"/>
        </w:rPr>
      </w:pPr>
      <w:r w:rsidRPr="00927676">
        <w:rPr>
          <w:rFonts w:cs="Times New Roman"/>
        </w:rPr>
        <w:t xml:space="preserve">An analysis of the use of the internet indicator by age groups provided a clear picture of the use of the internet in Palestine, where results showed that 96.5% of the youth (18-29 years) use the internet. </w:t>
      </w:r>
    </w:p>
    <w:p w14:paraId="6F13731D" w14:textId="77777777" w:rsidR="006609C6" w:rsidRPr="00B343CC" w:rsidRDefault="006609C6" w:rsidP="006609C6">
      <w:pPr>
        <w:pStyle w:val="BodyText2"/>
        <w:ind w:left="360"/>
        <w:jc w:val="both"/>
        <w:rPr>
          <w:b w:val="0"/>
          <w:bCs w:val="0"/>
          <w:sz w:val="19"/>
          <w:szCs w:val="19"/>
          <w:rtl/>
        </w:rPr>
      </w:pPr>
    </w:p>
    <w:p w14:paraId="583420A3" w14:textId="77777777" w:rsidR="006609C6" w:rsidRPr="00B343CC" w:rsidRDefault="006609C6" w:rsidP="006609C6">
      <w:pPr>
        <w:pStyle w:val="Header"/>
        <w:bidi w:val="0"/>
        <w:jc w:val="center"/>
        <w:outlineLvl w:val="0"/>
        <w:rPr>
          <w:rFonts w:cs="Times New Roman"/>
          <w:b/>
          <w:bCs/>
          <w:bdr w:val="single" w:sz="4" w:space="0" w:color="auto"/>
        </w:rPr>
      </w:pPr>
      <w:r w:rsidRPr="00B343CC">
        <w:rPr>
          <w:rFonts w:cs="Times New Roman"/>
          <w:b/>
          <w:bCs/>
        </w:rPr>
        <w:t>Percentage of Individuals (10 Years and Above) Who Use the Internet in Palestine by Age Groups, 2023</w:t>
      </w:r>
    </w:p>
    <w:tbl>
      <w:tblPr>
        <w:tblStyle w:val="TableGrid"/>
        <w:tblW w:w="0" w:type="auto"/>
        <w:tblLook w:val="04A0" w:firstRow="1" w:lastRow="0" w:firstColumn="1" w:lastColumn="0" w:noHBand="0" w:noVBand="1"/>
      </w:tblPr>
      <w:tblGrid>
        <w:gridCol w:w="7361"/>
      </w:tblGrid>
      <w:tr w:rsidR="006609C6" w:rsidRPr="00B343CC" w14:paraId="1C82D7D4" w14:textId="77777777" w:rsidTr="00F87E70">
        <w:tc>
          <w:tcPr>
            <w:tcW w:w="7361" w:type="dxa"/>
          </w:tcPr>
          <w:p w14:paraId="62D4E5DA" w14:textId="77777777" w:rsidR="006609C6" w:rsidRPr="00656665" w:rsidRDefault="006609C6" w:rsidP="00F87E70">
            <w:pPr>
              <w:pStyle w:val="Header"/>
              <w:bidi w:val="0"/>
              <w:jc w:val="center"/>
              <w:outlineLvl w:val="0"/>
              <w:rPr>
                <w:rFonts w:asciiTheme="minorBidi" w:hAnsiTheme="minorBidi"/>
                <w:b/>
                <w:bCs/>
                <w:sz w:val="16"/>
                <w:szCs w:val="16"/>
                <w:bdr w:val="single" w:sz="4" w:space="0" w:color="auto"/>
              </w:rPr>
            </w:pPr>
            <w:r w:rsidRPr="00656665">
              <w:rPr>
                <w:rFonts w:asciiTheme="minorBidi" w:hAnsiTheme="minorBidi"/>
                <w:b/>
                <w:bCs/>
                <w:sz w:val="16"/>
                <w:szCs w:val="16"/>
                <w:rtl/>
              </w:rPr>
              <w:drawing>
                <wp:inline distT="0" distB="0" distL="0" distR="0" wp14:anchorId="49608921" wp14:editId="29929A00">
                  <wp:extent cx="4476750" cy="2256790"/>
                  <wp:effectExtent l="0" t="0" r="0" b="0"/>
                  <wp:docPr id="8"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629EAE9D" w14:textId="77777777" w:rsidR="006609C6" w:rsidRPr="00B343CC" w:rsidRDefault="006609C6" w:rsidP="006609C6">
      <w:pPr>
        <w:tabs>
          <w:tab w:val="left" w:pos="3055"/>
          <w:tab w:val="right" w:pos="7371"/>
        </w:tabs>
        <w:bidi w:val="0"/>
        <w:jc w:val="both"/>
        <w:rPr>
          <w:rFonts w:cs="Times New Roman"/>
          <w:sz w:val="16"/>
          <w:szCs w:val="16"/>
        </w:rPr>
      </w:pPr>
    </w:p>
    <w:p w14:paraId="61BC2AA9" w14:textId="77777777" w:rsidR="00F93A55" w:rsidRPr="00927676" w:rsidRDefault="00F93A55" w:rsidP="00F93A55">
      <w:pPr>
        <w:tabs>
          <w:tab w:val="left" w:pos="3055"/>
          <w:tab w:val="right" w:pos="7371"/>
        </w:tabs>
        <w:bidi w:val="0"/>
        <w:jc w:val="both"/>
        <w:rPr>
          <w:rFonts w:cs="Times New Roman"/>
          <w:b/>
          <w:bCs/>
          <w:rtl/>
        </w:rPr>
      </w:pPr>
      <w:r w:rsidRPr="00927676">
        <w:rPr>
          <w:rFonts w:cs="Times New Roman"/>
          <w:b/>
          <w:bCs/>
        </w:rPr>
        <w:t>1.7.3 Own and Use a Mobile Phone</w:t>
      </w:r>
    </w:p>
    <w:p w14:paraId="0ABD7143"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percentage of individuals (10 years and above) who own a mobile phone is 81.0% in Palestine in 2023 (87.6% in the West Bank and 70.7% in Gaza Strip). </w:t>
      </w:r>
    </w:p>
    <w:p w14:paraId="20AEBEFB" w14:textId="77777777" w:rsidR="00F93A55" w:rsidRPr="00927676" w:rsidRDefault="00F93A55" w:rsidP="00F93A55">
      <w:pPr>
        <w:pStyle w:val="BodyText2"/>
        <w:numPr>
          <w:ilvl w:val="0"/>
          <w:numId w:val="8"/>
        </w:numPr>
        <w:jc w:val="both"/>
        <w:rPr>
          <w:b w:val="0"/>
          <w:bCs w:val="0"/>
          <w:sz w:val="19"/>
          <w:szCs w:val="19"/>
          <w:rtl/>
        </w:rPr>
      </w:pPr>
      <w:r w:rsidRPr="00927676">
        <w:rPr>
          <w:b w:val="0"/>
          <w:bCs w:val="0"/>
          <w:sz w:val="19"/>
          <w:szCs w:val="19"/>
        </w:rPr>
        <w:t xml:space="preserve">About 74.3% of individuals aged 10 years and above own a smartphone in Palestine in 2023 (85.1% in the West Bank and 57.9% in Gaza Strip).  </w:t>
      </w:r>
    </w:p>
    <w:p w14:paraId="4F55D603" w14:textId="77777777" w:rsidR="006609C6" w:rsidRPr="00B343CC" w:rsidRDefault="006609C6" w:rsidP="006609C6">
      <w:pPr>
        <w:bidi w:val="0"/>
        <w:jc w:val="center"/>
        <w:rPr>
          <w:rFonts w:cs="Times New Roman"/>
          <w:b/>
          <w:bCs/>
          <w:rtl/>
        </w:rPr>
      </w:pPr>
    </w:p>
    <w:p w14:paraId="2B000EAD" w14:textId="4BFDAC7B" w:rsidR="006610DF" w:rsidRPr="00B343CC" w:rsidRDefault="006610DF" w:rsidP="006610DF">
      <w:pPr>
        <w:bidi w:val="0"/>
        <w:jc w:val="center"/>
        <w:rPr>
          <w:rFonts w:cs="Times New Roman"/>
          <w:b/>
          <w:bCs/>
          <w:rtl/>
        </w:rPr>
      </w:pPr>
    </w:p>
    <w:p w14:paraId="5DCEC1E6" w14:textId="77777777" w:rsidR="006D319E" w:rsidRPr="00B343CC" w:rsidRDefault="006D319E" w:rsidP="006D319E">
      <w:pPr>
        <w:bidi w:val="0"/>
        <w:jc w:val="center"/>
        <w:rPr>
          <w:rFonts w:cs="Times New Roman"/>
          <w:b/>
          <w:bCs/>
          <w:rtl/>
        </w:rPr>
      </w:pPr>
    </w:p>
    <w:p w14:paraId="3C3FD7AB" w14:textId="77777777" w:rsidR="006610DF" w:rsidRPr="00B343CC" w:rsidRDefault="006610DF" w:rsidP="006610DF">
      <w:pPr>
        <w:bidi w:val="0"/>
        <w:jc w:val="center"/>
        <w:rPr>
          <w:rFonts w:cs="Times New Roman"/>
          <w:b/>
          <w:bCs/>
          <w:rtl/>
        </w:rPr>
      </w:pPr>
    </w:p>
    <w:p w14:paraId="78418645" w14:textId="77777777" w:rsidR="006610DF" w:rsidRPr="00B343CC" w:rsidRDefault="006610DF" w:rsidP="006610DF">
      <w:pPr>
        <w:bidi w:val="0"/>
        <w:jc w:val="center"/>
        <w:rPr>
          <w:rFonts w:cs="Times New Roman"/>
          <w:b/>
          <w:bCs/>
        </w:rPr>
      </w:pPr>
    </w:p>
    <w:p w14:paraId="04C90C64" w14:textId="77777777" w:rsidR="006609C6" w:rsidRPr="00B343CC" w:rsidRDefault="006609C6" w:rsidP="006609C6">
      <w:pPr>
        <w:bidi w:val="0"/>
        <w:jc w:val="center"/>
        <w:rPr>
          <w:rFonts w:cs="Times New Roman"/>
          <w:b/>
          <w:bCs/>
        </w:rPr>
      </w:pPr>
    </w:p>
    <w:p w14:paraId="2FED0D9A" w14:textId="77777777" w:rsidR="006609C6" w:rsidRPr="00B343CC" w:rsidRDefault="006609C6" w:rsidP="006609C6">
      <w:pPr>
        <w:bidi w:val="0"/>
        <w:jc w:val="center"/>
        <w:rPr>
          <w:rFonts w:cs="Times New Roman"/>
          <w:b/>
          <w:bCs/>
        </w:rPr>
      </w:pPr>
      <w:r w:rsidRPr="00B343CC">
        <w:rPr>
          <w:rFonts w:cs="Times New Roman"/>
          <w:b/>
          <w:bCs/>
        </w:rPr>
        <w:lastRenderedPageBreak/>
        <w:t>Percentage of Individuals (10 Years and Above) Who Own or Use a Mobile Phone in Palestine by Sex, 2023</w:t>
      </w:r>
    </w:p>
    <w:tbl>
      <w:tblPr>
        <w:tblStyle w:val="TableGrid"/>
        <w:tblW w:w="0" w:type="auto"/>
        <w:tblLook w:val="04A0" w:firstRow="1" w:lastRow="0" w:firstColumn="1" w:lastColumn="0" w:noHBand="0" w:noVBand="1"/>
      </w:tblPr>
      <w:tblGrid>
        <w:gridCol w:w="7361"/>
      </w:tblGrid>
      <w:tr w:rsidR="006609C6" w:rsidRPr="00B343CC" w14:paraId="23F5D4FE" w14:textId="77777777" w:rsidTr="00F87E70">
        <w:trPr>
          <w:trHeight w:val="3227"/>
        </w:trPr>
        <w:tc>
          <w:tcPr>
            <w:tcW w:w="7361" w:type="dxa"/>
          </w:tcPr>
          <w:p w14:paraId="342FAC68" w14:textId="77777777" w:rsidR="006609C6" w:rsidRPr="00B343CC" w:rsidRDefault="006609C6" w:rsidP="00F87E70">
            <w:pPr>
              <w:bidi w:val="0"/>
              <w:jc w:val="center"/>
              <w:rPr>
                <w:rFonts w:cs="Times New Roman"/>
                <w:b/>
                <w:bCs/>
              </w:rPr>
            </w:pPr>
            <w:r w:rsidRPr="00B343CC">
              <w:rPr>
                <w:rFonts w:cs="Times New Roman"/>
                <w:b/>
                <w:bCs/>
                <w:sz w:val="24"/>
                <w:szCs w:val="24"/>
                <w:rtl/>
              </w:rPr>
              <w:drawing>
                <wp:inline distT="0" distB="0" distL="0" distR="0" wp14:anchorId="2FF4CCD3" wp14:editId="2F480120">
                  <wp:extent cx="4507439" cy="1981200"/>
                  <wp:effectExtent l="0" t="0" r="0" b="0"/>
                  <wp:docPr id="233"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28F8EB7E" w14:textId="77777777" w:rsidR="006609C6" w:rsidRPr="00B343CC" w:rsidRDefault="006609C6" w:rsidP="006609C6">
      <w:pPr>
        <w:bidi w:val="0"/>
        <w:jc w:val="center"/>
        <w:rPr>
          <w:rFonts w:cs="Times New Roman"/>
          <w:b/>
          <w:bCs/>
        </w:rPr>
      </w:pPr>
    </w:p>
    <w:p w14:paraId="63C890E8" w14:textId="77777777" w:rsidR="00F93A55" w:rsidRPr="00927676" w:rsidRDefault="00F93A55" w:rsidP="00F93A55">
      <w:pPr>
        <w:tabs>
          <w:tab w:val="left" w:pos="3055"/>
          <w:tab w:val="right" w:pos="7371"/>
        </w:tabs>
        <w:jc w:val="right"/>
        <w:rPr>
          <w:rFonts w:cs="Times New Roman"/>
          <w:b/>
          <w:bCs/>
        </w:rPr>
      </w:pPr>
      <w:r w:rsidRPr="00927676">
        <w:rPr>
          <w:rFonts w:cs="Times New Roman"/>
          <w:b/>
          <w:bCs/>
        </w:rPr>
        <w:t>1.7.4</w:t>
      </w:r>
      <w:r w:rsidRPr="00927676">
        <w:t xml:space="preserve"> </w:t>
      </w:r>
      <w:r w:rsidRPr="00927676">
        <w:rPr>
          <w:rFonts w:cs="Times New Roman"/>
          <w:b/>
          <w:bCs/>
        </w:rPr>
        <w:t>Use of Social Media or Professional Networks</w:t>
      </w:r>
    </w:p>
    <w:p w14:paraId="206BF4DE"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91.6% of individuals (10 years and above) who used the internet have used social media or professional networks in Palestine in 2023 (91.5% in the West Bank and 91.7% in Gaza Strip)</w:t>
      </w:r>
      <w:r w:rsidRPr="00927676">
        <w:rPr>
          <w:b w:val="0"/>
          <w:bCs w:val="0"/>
          <w:sz w:val="19"/>
          <w:szCs w:val="19"/>
          <w:rtl/>
        </w:rPr>
        <w:t xml:space="preserve"> .</w:t>
      </w:r>
    </w:p>
    <w:p w14:paraId="689DA14B" w14:textId="77777777" w:rsidR="00F93A55" w:rsidRPr="00927676" w:rsidRDefault="00F93A55" w:rsidP="00F93A55">
      <w:pPr>
        <w:pStyle w:val="ListParagraph"/>
        <w:tabs>
          <w:tab w:val="left" w:pos="3055"/>
          <w:tab w:val="right" w:pos="7371"/>
        </w:tabs>
        <w:bidi w:val="0"/>
        <w:jc w:val="both"/>
        <w:rPr>
          <w:rFonts w:cs="Times New Roman"/>
          <w:sz w:val="20"/>
        </w:rPr>
      </w:pPr>
    </w:p>
    <w:p w14:paraId="0241A061" w14:textId="77777777" w:rsidR="00F93A55" w:rsidRPr="00927676" w:rsidRDefault="00F93A55" w:rsidP="00F93A55">
      <w:pPr>
        <w:pStyle w:val="ListParagraph"/>
        <w:numPr>
          <w:ilvl w:val="1"/>
          <w:numId w:val="16"/>
        </w:numPr>
        <w:bidi w:val="0"/>
        <w:ind w:left="284" w:hanging="284"/>
        <w:rPr>
          <w:rFonts w:cs="Times New Roman"/>
          <w:b/>
          <w:bCs/>
          <w:sz w:val="20"/>
        </w:rPr>
      </w:pPr>
      <w:r w:rsidRPr="00927676">
        <w:rPr>
          <w:rFonts w:cs="Times New Roman"/>
          <w:b/>
          <w:bCs/>
          <w:sz w:val="20"/>
        </w:rPr>
        <w:t>Security and Justice</w:t>
      </w:r>
    </w:p>
    <w:p w14:paraId="2AB24C75" w14:textId="77777777" w:rsidR="00F93A55" w:rsidRPr="00927676" w:rsidRDefault="00F93A55" w:rsidP="00F93A55">
      <w:pPr>
        <w:bidi w:val="0"/>
        <w:ind w:left="284" w:hanging="284"/>
        <w:jc w:val="both"/>
        <w:rPr>
          <w:rFonts w:cs="Times New Roman"/>
          <w:b/>
          <w:bCs/>
          <w:rtl/>
        </w:rPr>
      </w:pPr>
      <w:r w:rsidRPr="00927676">
        <w:rPr>
          <w:rFonts w:cs="Times New Roman"/>
          <w:b/>
          <w:bCs/>
        </w:rPr>
        <w:t>1.8.1 Reported Criminal Offenses</w:t>
      </w:r>
    </w:p>
    <w:p w14:paraId="152BE639"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number of reported criminal offenses in 2024 in Palestine reached 40,088 in the West Bank. (excluding Jerusalem J1)</w:t>
      </w:r>
    </w:p>
    <w:p w14:paraId="502BC849"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Criminal Offenses were concentrated in assault on others by </w:t>
      </w:r>
      <w:r w:rsidRPr="00927676">
        <w:rPr>
          <w:b w:val="0"/>
          <w:bCs w:val="0"/>
          <w:sz w:val="19"/>
          <w:szCs w:val="19"/>
          <w:rtl/>
        </w:rPr>
        <w:t>24</w:t>
      </w:r>
      <w:r w:rsidRPr="00927676">
        <w:rPr>
          <w:b w:val="0"/>
          <w:bCs w:val="0"/>
          <w:sz w:val="19"/>
          <w:szCs w:val="19"/>
        </w:rPr>
        <w:t>.2%, thefting 20.0%,  threatening 11.5%, assault on private and public property 10.3%, harming/immoral offenses 7.7%, while the rest of the criminal acts were distributed among crimes against public order, drug crimes, fraud and forgery, crime of breach of trust/corruption, prejudice the course of justice and other criminal offenses</w:t>
      </w:r>
      <w:r w:rsidRPr="00927676">
        <w:rPr>
          <w:b w:val="0"/>
          <w:bCs w:val="0"/>
          <w:sz w:val="19"/>
          <w:szCs w:val="19"/>
          <w:rtl/>
        </w:rPr>
        <w:t>.</w:t>
      </w:r>
      <w:r w:rsidRPr="00927676">
        <w:rPr>
          <w:b w:val="0"/>
          <w:bCs w:val="0"/>
          <w:sz w:val="19"/>
          <w:szCs w:val="19"/>
        </w:rPr>
        <w:t xml:space="preserve"> </w:t>
      </w:r>
    </w:p>
    <w:p w14:paraId="3AAF7F79" w14:textId="77777777" w:rsidR="00F93A55" w:rsidRPr="00927676" w:rsidRDefault="00F93A55" w:rsidP="00F93A55">
      <w:pPr>
        <w:bidi w:val="0"/>
        <w:contextualSpacing/>
        <w:jc w:val="both"/>
        <w:rPr>
          <w:rFonts w:cs="Times New Roman"/>
        </w:rPr>
      </w:pPr>
    </w:p>
    <w:p w14:paraId="79BA0E75" w14:textId="77777777" w:rsidR="00F93A55" w:rsidRPr="00927676" w:rsidRDefault="00F93A55" w:rsidP="00F93A55">
      <w:pPr>
        <w:bidi w:val="0"/>
        <w:ind w:left="360" w:hanging="360"/>
        <w:jc w:val="both"/>
        <w:rPr>
          <w:rFonts w:cs="Times New Roman"/>
          <w:b/>
          <w:bCs/>
        </w:rPr>
      </w:pPr>
      <w:r w:rsidRPr="00927676">
        <w:rPr>
          <w:rFonts w:cs="Times New Roman"/>
          <w:b/>
          <w:bCs/>
        </w:rPr>
        <w:t>1.8.2 Juvenile</w:t>
      </w:r>
    </w:p>
    <w:p w14:paraId="71C9A5F9"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number of juveniles who were referred to the Juvenile Officer in the West Bank reached 1,982 in 2024, and the largest number of juveniles was in Ramallah &amp; Al-Bireh Governorate, with 360 juveniles.</w:t>
      </w:r>
    </w:p>
    <w:p w14:paraId="5FF12AE1"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crimes committed by these juveniles were distributed among 597 harm/threatening, 427 cases of robbery and theft, 188 cases of participating in assualt/scrimmage, and the rest were various crimes such as destroying others’ properties, road accidents, assualting public employees, and others</w:t>
      </w:r>
      <w:r w:rsidRPr="00927676">
        <w:rPr>
          <w:b w:val="0"/>
          <w:bCs w:val="0"/>
          <w:sz w:val="19"/>
          <w:szCs w:val="19"/>
          <w:rtl/>
        </w:rPr>
        <w:t>.</w:t>
      </w:r>
    </w:p>
    <w:p w14:paraId="4206E975" w14:textId="77777777" w:rsidR="00F93A55" w:rsidRPr="00927676" w:rsidRDefault="00F93A55" w:rsidP="00F93A55">
      <w:pPr>
        <w:tabs>
          <w:tab w:val="left" w:pos="2235"/>
        </w:tabs>
        <w:bidi w:val="0"/>
        <w:rPr>
          <w:rFonts w:cs="Times New Roman"/>
          <w:b/>
          <w:bCs/>
          <w:rtl/>
        </w:rPr>
      </w:pPr>
    </w:p>
    <w:p w14:paraId="1E3700AD" w14:textId="77777777" w:rsidR="00F93A55" w:rsidRPr="00927676" w:rsidRDefault="00F93A55" w:rsidP="00F93A55">
      <w:pPr>
        <w:tabs>
          <w:tab w:val="left" w:pos="2235"/>
        </w:tabs>
        <w:bidi w:val="0"/>
        <w:rPr>
          <w:rFonts w:cs="Times New Roman"/>
          <w:b/>
          <w:bCs/>
        </w:rPr>
      </w:pPr>
      <w:r w:rsidRPr="00927676">
        <w:rPr>
          <w:rFonts w:cs="Times New Roman"/>
          <w:b/>
          <w:bCs/>
        </w:rPr>
        <w:t>1.8.3 Road Traffic Accidents</w:t>
      </w:r>
      <w:r w:rsidRPr="00927676">
        <w:rPr>
          <w:rFonts w:cs="Times New Roman"/>
          <w:b/>
          <w:bCs/>
          <w:rtl/>
        </w:rPr>
        <w:t>:</w:t>
      </w:r>
    </w:p>
    <w:p w14:paraId="3F21B827"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number of road traffic accidents in the West Bank reached 15,094 in 2024.</w:t>
      </w:r>
    </w:p>
    <w:p w14:paraId="0BA278B4"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Road traffic accidents resulted in 9,858 injuries, distributed as 8,947 mild injuries, 636 moderate injuries, 164 serious injuries, and 111 fatal injuries.</w:t>
      </w:r>
    </w:p>
    <w:p w14:paraId="72FD3E45" w14:textId="77777777" w:rsidR="00F93A55" w:rsidRPr="00927676" w:rsidRDefault="00F93A55" w:rsidP="00F93A55">
      <w:pPr>
        <w:pStyle w:val="BodyText2"/>
        <w:numPr>
          <w:ilvl w:val="0"/>
          <w:numId w:val="8"/>
        </w:numPr>
        <w:jc w:val="both"/>
        <w:rPr>
          <w:b w:val="0"/>
          <w:bCs w:val="0"/>
          <w:sz w:val="19"/>
          <w:szCs w:val="19"/>
          <w:rtl/>
        </w:rPr>
      </w:pPr>
      <w:r w:rsidRPr="00927676">
        <w:rPr>
          <w:b w:val="0"/>
          <w:bCs w:val="0"/>
          <w:sz w:val="19"/>
          <w:szCs w:val="19"/>
        </w:rPr>
        <w:t>Most road traffic accidents that occurred during 2024 were in Ramallah &amp; Al-Bireh Governorate, with 4,156 accidents.</w:t>
      </w:r>
    </w:p>
    <w:p w14:paraId="784AD5B3" w14:textId="77777777" w:rsidR="00F93A55" w:rsidRPr="00927676" w:rsidRDefault="00F93A55" w:rsidP="00F93A55">
      <w:pPr>
        <w:bidi w:val="0"/>
        <w:ind w:left="284" w:hanging="284"/>
        <w:rPr>
          <w:rFonts w:cs="Times New Roman"/>
          <w:b/>
          <w:bCs/>
          <w:rtl/>
        </w:rPr>
      </w:pPr>
    </w:p>
    <w:p w14:paraId="69F51EF3" w14:textId="77777777" w:rsidR="00F93A55" w:rsidRPr="00927676" w:rsidRDefault="00F93A55" w:rsidP="00F93A55">
      <w:pPr>
        <w:bidi w:val="0"/>
        <w:ind w:left="284" w:hanging="284"/>
        <w:rPr>
          <w:rFonts w:cs="Times New Roman"/>
          <w:b/>
          <w:bCs/>
        </w:rPr>
      </w:pPr>
    </w:p>
    <w:p w14:paraId="7BB131E8" w14:textId="77777777" w:rsidR="00F93A55" w:rsidRPr="00927676" w:rsidRDefault="00F93A55" w:rsidP="00F93A55">
      <w:pPr>
        <w:bidi w:val="0"/>
        <w:ind w:left="284" w:hanging="284"/>
        <w:jc w:val="both"/>
        <w:rPr>
          <w:rFonts w:cs="Times New Roman"/>
          <w:b/>
          <w:bCs/>
        </w:rPr>
      </w:pPr>
      <w:r w:rsidRPr="00927676">
        <w:rPr>
          <w:rFonts w:cs="Times New Roman"/>
          <w:b/>
          <w:bCs/>
        </w:rPr>
        <w:lastRenderedPageBreak/>
        <w:t>1.8.3 Civil Court Matters</w:t>
      </w:r>
      <w:r w:rsidRPr="00927676">
        <w:rPr>
          <w:rStyle w:val="FootnoteReference"/>
          <w:rFonts w:cs="Times New Roman"/>
          <w:b/>
          <w:bCs/>
        </w:rPr>
        <w:footnoteReference w:id="3"/>
      </w:r>
      <w:r w:rsidRPr="00927676">
        <w:rPr>
          <w:rFonts w:cs="Times New Roman"/>
          <w:b/>
          <w:bCs/>
          <w:rtl/>
        </w:rPr>
        <w:t>:</w:t>
      </w:r>
    </w:p>
    <w:p w14:paraId="57D4851F"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number of civil court matters received in the West Bank reached 63,732 cases in 2024.</w:t>
      </w:r>
    </w:p>
    <w:p w14:paraId="0F03C936"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percentage of decided matters out of the total of civil court matters received and carried from the previous year in the West Bank was 28.8%.</w:t>
      </w:r>
    </w:p>
    <w:p w14:paraId="1F4AD304" w14:textId="77777777" w:rsidR="00F93A55" w:rsidRPr="00927676" w:rsidRDefault="00F93A55" w:rsidP="00F93A55">
      <w:pPr>
        <w:bidi w:val="0"/>
        <w:rPr>
          <w:rFonts w:cs="Times New Roman"/>
          <w:b/>
          <w:bCs/>
        </w:rPr>
      </w:pPr>
    </w:p>
    <w:p w14:paraId="148E155A" w14:textId="77777777" w:rsidR="00F93A55" w:rsidRPr="00927676" w:rsidRDefault="00F93A55" w:rsidP="00F93A55">
      <w:pPr>
        <w:pStyle w:val="ListParagraph"/>
        <w:bidi w:val="0"/>
        <w:ind w:left="0"/>
        <w:rPr>
          <w:rFonts w:cs="Times New Roman"/>
          <w:b/>
          <w:bCs/>
          <w:rtl/>
        </w:rPr>
      </w:pPr>
      <w:r w:rsidRPr="00927676">
        <w:rPr>
          <w:rFonts w:cs="Times New Roman"/>
          <w:b/>
          <w:bCs/>
        </w:rPr>
        <w:t xml:space="preserve">2. land and Environment Statistics        </w:t>
      </w:r>
    </w:p>
    <w:p w14:paraId="29D5C975" w14:textId="0CBF83FC" w:rsidR="00F93A55" w:rsidRPr="00927676" w:rsidRDefault="00F93A55" w:rsidP="00F93A55">
      <w:pPr>
        <w:pStyle w:val="ListParagraph"/>
        <w:numPr>
          <w:ilvl w:val="1"/>
          <w:numId w:val="17"/>
        </w:numPr>
        <w:bidi w:val="0"/>
        <w:ind w:left="284" w:hanging="284"/>
        <w:rPr>
          <w:rFonts w:cs="Times New Roman"/>
          <w:b/>
          <w:bCs/>
          <w:sz w:val="20"/>
          <w:rtl/>
        </w:rPr>
      </w:pPr>
      <w:r w:rsidRPr="00927676">
        <w:rPr>
          <w:rFonts w:cs="Times New Roman"/>
          <w:b/>
          <w:bCs/>
          <w:sz w:val="20"/>
        </w:rPr>
        <w:t>A</w:t>
      </w:r>
      <w:r w:rsidR="0098516E">
        <w:rPr>
          <w:rFonts w:cs="Times New Roman"/>
          <w:b/>
          <w:bCs/>
          <w:sz w:val="20"/>
        </w:rPr>
        <w:t>gricultural Statistics</w:t>
      </w:r>
    </w:p>
    <w:p w14:paraId="099E43FB"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number of slaughtered birds and livestock in operating slaughterhouses in the West Bank in </w:t>
      </w:r>
      <w:r w:rsidRPr="00927676">
        <w:rPr>
          <w:b w:val="0"/>
          <w:bCs w:val="0"/>
          <w:sz w:val="19"/>
          <w:szCs w:val="19"/>
          <w:rtl/>
        </w:rPr>
        <w:t>2023</w:t>
      </w:r>
      <w:r>
        <w:rPr>
          <w:b w:val="0"/>
          <w:bCs w:val="0"/>
          <w:sz w:val="19"/>
          <w:szCs w:val="19"/>
        </w:rPr>
        <w:t xml:space="preserve">: </w:t>
      </w:r>
      <w:r w:rsidRPr="00927676">
        <w:rPr>
          <w:b w:val="0"/>
          <w:bCs w:val="0"/>
          <w:sz w:val="19"/>
          <w:szCs w:val="19"/>
        </w:rPr>
        <w:t>the total number of slaughtered</w:t>
      </w:r>
      <w:r w:rsidRPr="00927676">
        <w:rPr>
          <w:b w:val="0"/>
          <w:bCs w:val="0"/>
          <w:sz w:val="19"/>
          <w:szCs w:val="19"/>
          <w:rtl/>
        </w:rPr>
        <w:t xml:space="preserve"> </w:t>
      </w:r>
      <w:r w:rsidRPr="00927676">
        <w:rPr>
          <w:b w:val="0"/>
          <w:bCs w:val="0"/>
          <w:sz w:val="19"/>
          <w:szCs w:val="19"/>
        </w:rPr>
        <w:t>cattle was 35,065, the number of slaughtered sheep was 69,686, the number of slaughtered goats was 1,392</w:t>
      </w:r>
      <w:r>
        <w:rPr>
          <w:b w:val="0"/>
          <w:bCs w:val="0"/>
          <w:sz w:val="19"/>
          <w:szCs w:val="19"/>
        </w:rPr>
        <w:t>, and</w:t>
      </w:r>
      <w:r w:rsidRPr="00927676">
        <w:rPr>
          <w:b w:val="0"/>
          <w:bCs w:val="0"/>
          <w:sz w:val="19"/>
          <w:szCs w:val="19"/>
        </w:rPr>
        <w:t xml:space="preserve"> </w:t>
      </w:r>
      <w:r>
        <w:rPr>
          <w:b w:val="0"/>
          <w:bCs w:val="0"/>
          <w:sz w:val="19"/>
          <w:szCs w:val="19"/>
        </w:rPr>
        <w:t>t</w:t>
      </w:r>
      <w:r w:rsidRPr="00927676">
        <w:rPr>
          <w:b w:val="0"/>
          <w:bCs w:val="0"/>
          <w:sz w:val="19"/>
          <w:szCs w:val="19"/>
        </w:rPr>
        <w:t xml:space="preserve">he number of slaughtered birds </w:t>
      </w:r>
      <w:r>
        <w:rPr>
          <w:b w:val="0"/>
          <w:bCs w:val="0"/>
          <w:sz w:val="19"/>
          <w:szCs w:val="19"/>
        </w:rPr>
        <w:t xml:space="preserve">was </w:t>
      </w:r>
      <w:r w:rsidRPr="00927676">
        <w:rPr>
          <w:b w:val="0"/>
          <w:bCs w:val="0"/>
          <w:sz w:val="19"/>
          <w:szCs w:val="19"/>
        </w:rPr>
        <w:t>13,534.4.</w:t>
      </w:r>
    </w:p>
    <w:p w14:paraId="2BC80567" w14:textId="77777777" w:rsidR="00F542C3" w:rsidRPr="00B343CC" w:rsidRDefault="00F542C3" w:rsidP="00F542C3">
      <w:pPr>
        <w:pStyle w:val="ListParagraph"/>
        <w:tabs>
          <w:tab w:val="left" w:pos="1565"/>
        </w:tabs>
        <w:overflowPunct w:val="0"/>
        <w:autoSpaceDE w:val="0"/>
        <w:autoSpaceDN w:val="0"/>
        <w:bidi w:val="0"/>
        <w:adjustRightInd w:val="0"/>
        <w:ind w:left="360"/>
        <w:textAlignment w:val="baseline"/>
        <w:rPr>
          <w:b/>
          <w:bCs/>
        </w:rPr>
      </w:pPr>
    </w:p>
    <w:p w14:paraId="33841889" w14:textId="77777777" w:rsidR="00F542C3" w:rsidRPr="00B343CC" w:rsidRDefault="00F542C3" w:rsidP="00F542C3">
      <w:pPr>
        <w:pStyle w:val="ListParagraph"/>
        <w:tabs>
          <w:tab w:val="left" w:pos="1565"/>
        </w:tabs>
        <w:overflowPunct w:val="0"/>
        <w:autoSpaceDE w:val="0"/>
        <w:autoSpaceDN w:val="0"/>
        <w:bidi w:val="0"/>
        <w:adjustRightInd w:val="0"/>
        <w:ind w:left="360"/>
        <w:jc w:val="center"/>
        <w:textAlignment w:val="baseline"/>
        <w:rPr>
          <w:b/>
          <w:bCs/>
          <w:sz w:val="18"/>
          <w:szCs w:val="14"/>
        </w:rPr>
      </w:pPr>
      <w:r w:rsidRPr="00B343CC">
        <w:rPr>
          <w:b/>
          <w:bCs/>
          <w:sz w:val="18"/>
          <w:szCs w:val="14"/>
        </w:rPr>
        <w:t>Slaughtered Birds and Livestock in Operating Slaughterhouses in the West Bank, 2023</w:t>
      </w:r>
    </w:p>
    <w:p w14:paraId="5690B2D6" w14:textId="40C1F89E" w:rsidR="00F542C3" w:rsidRPr="00B343CC" w:rsidRDefault="00F542C3" w:rsidP="0098516E">
      <w:pPr>
        <w:pStyle w:val="BodyText2"/>
        <w:jc w:val="center"/>
        <w:rPr>
          <w:b w:val="0"/>
          <w:bCs w:val="0"/>
          <w:sz w:val="19"/>
          <w:szCs w:val="19"/>
        </w:rPr>
      </w:pPr>
      <w:r w:rsidRPr="00B343CC">
        <w:rPr>
          <w:rtl/>
        </w:rPr>
        <w:drawing>
          <wp:inline distT="0" distB="0" distL="0" distR="0" wp14:anchorId="261CE215" wp14:editId="1B70295E">
            <wp:extent cx="4353560" cy="1974656"/>
            <wp:effectExtent l="0" t="0" r="8890" b="6985"/>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C6BA6BA" w14:textId="77777777" w:rsidR="00F542C3" w:rsidRPr="00B343CC" w:rsidRDefault="00F542C3" w:rsidP="00F542C3">
      <w:pPr>
        <w:pStyle w:val="BodyText2"/>
        <w:ind w:left="360"/>
        <w:jc w:val="both"/>
        <w:rPr>
          <w:b w:val="0"/>
          <w:bCs w:val="0"/>
          <w:sz w:val="19"/>
          <w:szCs w:val="19"/>
        </w:rPr>
      </w:pPr>
    </w:p>
    <w:p w14:paraId="361F0240" w14:textId="77777777" w:rsidR="00F93A55" w:rsidRPr="00D338CE" w:rsidRDefault="00F93A55" w:rsidP="00F93A55">
      <w:pPr>
        <w:pStyle w:val="BodyText2"/>
        <w:numPr>
          <w:ilvl w:val="0"/>
          <w:numId w:val="8"/>
        </w:numPr>
        <w:jc w:val="both"/>
        <w:rPr>
          <w:b w:val="0"/>
          <w:bCs w:val="0"/>
          <w:sz w:val="19"/>
          <w:szCs w:val="19"/>
        </w:rPr>
      </w:pPr>
      <w:r w:rsidRPr="00927676">
        <w:rPr>
          <w:b w:val="0"/>
          <w:bCs w:val="0"/>
          <w:sz w:val="19"/>
          <w:szCs w:val="19"/>
        </w:rPr>
        <w:t>Data of 2023 indic</w:t>
      </w:r>
      <w:r>
        <w:rPr>
          <w:b w:val="0"/>
          <w:bCs w:val="0"/>
          <w:sz w:val="19"/>
          <w:szCs w:val="19"/>
        </w:rPr>
        <w:t>a</w:t>
      </w:r>
      <w:r w:rsidRPr="00927676">
        <w:rPr>
          <w:b w:val="0"/>
          <w:bCs w:val="0"/>
          <w:sz w:val="19"/>
          <w:szCs w:val="19"/>
        </w:rPr>
        <w:t xml:space="preserve">ted that the total number of hatcheries in the West Bank reaches </w:t>
      </w:r>
      <w:r w:rsidRPr="00BA3E17">
        <w:rPr>
          <w:b w:val="0"/>
          <w:bCs w:val="0"/>
          <w:sz w:val="19"/>
          <w:szCs w:val="19"/>
        </w:rPr>
        <w:t>19.</w:t>
      </w:r>
      <w:r w:rsidRPr="00927676">
        <w:rPr>
          <w:b w:val="0"/>
          <w:bCs w:val="0"/>
          <w:sz w:val="19"/>
          <w:szCs w:val="19"/>
        </w:rPr>
        <w:t xml:space="preserve"> The total number of eggs prepared for hatching </w:t>
      </w:r>
      <w:r w:rsidRPr="00D338CE">
        <w:rPr>
          <w:b w:val="0"/>
          <w:bCs w:val="0"/>
          <w:sz w:val="19"/>
          <w:szCs w:val="19"/>
        </w:rPr>
        <w:t>reached 79,870.6 eggs, all o</w:t>
      </w:r>
      <w:r>
        <w:rPr>
          <w:b w:val="0"/>
          <w:bCs w:val="0"/>
          <w:sz w:val="19"/>
          <w:szCs w:val="19"/>
        </w:rPr>
        <w:t>f</w:t>
      </w:r>
      <w:r w:rsidRPr="00D338CE">
        <w:rPr>
          <w:b w:val="0"/>
          <w:bCs w:val="0"/>
          <w:sz w:val="19"/>
          <w:szCs w:val="19"/>
        </w:rPr>
        <w:t xml:space="preserve"> them for broiler chicks production.</w:t>
      </w:r>
      <w:r>
        <w:rPr>
          <w:b w:val="0"/>
          <w:bCs w:val="0"/>
          <w:sz w:val="19"/>
          <w:szCs w:val="19"/>
        </w:rPr>
        <w:t xml:space="preserve"> </w:t>
      </w:r>
      <w:r w:rsidRPr="00D338CE">
        <w:rPr>
          <w:b w:val="0"/>
          <w:bCs w:val="0"/>
          <w:sz w:val="19"/>
          <w:szCs w:val="19"/>
        </w:rPr>
        <w:t>The number of produced chicks was around 60,469.1 .</w:t>
      </w:r>
    </w:p>
    <w:p w14:paraId="5EA61A3B" w14:textId="77777777" w:rsidR="00F93A55" w:rsidRPr="00E24D21" w:rsidRDefault="00F93A55" w:rsidP="00F93A55">
      <w:pPr>
        <w:pStyle w:val="BodyText2"/>
        <w:ind w:left="360"/>
        <w:jc w:val="both"/>
        <w:rPr>
          <w:b w:val="0"/>
          <w:bCs w:val="0"/>
          <w:sz w:val="19"/>
          <w:szCs w:val="19"/>
        </w:rPr>
      </w:pPr>
    </w:p>
    <w:p w14:paraId="25492021" w14:textId="77777777" w:rsidR="00F93A55" w:rsidRPr="00D338CE" w:rsidRDefault="00F93A55" w:rsidP="00F93A55">
      <w:pPr>
        <w:pStyle w:val="BodyText2"/>
        <w:numPr>
          <w:ilvl w:val="0"/>
          <w:numId w:val="8"/>
        </w:numPr>
        <w:jc w:val="both"/>
        <w:rPr>
          <w:b w:val="0"/>
          <w:bCs w:val="0"/>
          <w:sz w:val="19"/>
          <w:szCs w:val="19"/>
        </w:rPr>
      </w:pPr>
      <w:r w:rsidRPr="00927676">
        <w:rPr>
          <w:b w:val="0"/>
          <w:bCs w:val="0"/>
          <w:sz w:val="19"/>
          <w:szCs w:val="19"/>
        </w:rPr>
        <w:t xml:space="preserve">The number of operating </w:t>
      </w:r>
      <w:r>
        <w:rPr>
          <w:b w:val="0"/>
          <w:bCs w:val="0"/>
          <w:sz w:val="19"/>
          <w:szCs w:val="19"/>
        </w:rPr>
        <w:t>A</w:t>
      </w:r>
      <w:r w:rsidRPr="00D338CE">
        <w:rPr>
          <w:b w:val="0"/>
          <w:bCs w:val="0"/>
          <w:sz w:val="19"/>
          <w:szCs w:val="19"/>
        </w:rPr>
        <w:t xml:space="preserve">gricultural </w:t>
      </w:r>
      <w:r>
        <w:rPr>
          <w:b w:val="0"/>
          <w:bCs w:val="0"/>
          <w:sz w:val="19"/>
          <w:szCs w:val="19"/>
        </w:rPr>
        <w:t>C</w:t>
      </w:r>
      <w:r w:rsidRPr="00D338CE">
        <w:rPr>
          <w:b w:val="0"/>
          <w:bCs w:val="0"/>
          <w:sz w:val="19"/>
          <w:szCs w:val="19"/>
        </w:rPr>
        <w:t xml:space="preserve">ooperative </w:t>
      </w:r>
      <w:r>
        <w:rPr>
          <w:b w:val="0"/>
          <w:bCs w:val="0"/>
          <w:sz w:val="19"/>
          <w:szCs w:val="19"/>
        </w:rPr>
        <w:t>S</w:t>
      </w:r>
      <w:r w:rsidRPr="00D338CE">
        <w:rPr>
          <w:b w:val="0"/>
          <w:bCs w:val="0"/>
          <w:sz w:val="19"/>
          <w:szCs w:val="19"/>
        </w:rPr>
        <w:t xml:space="preserve">ocieties in </w:t>
      </w:r>
      <w:r>
        <w:rPr>
          <w:b w:val="0"/>
          <w:bCs w:val="0"/>
          <w:sz w:val="19"/>
          <w:szCs w:val="19"/>
        </w:rPr>
        <w:t xml:space="preserve">the </w:t>
      </w:r>
      <w:r w:rsidRPr="00D338CE">
        <w:rPr>
          <w:b w:val="0"/>
          <w:bCs w:val="0"/>
          <w:sz w:val="19"/>
          <w:szCs w:val="19"/>
        </w:rPr>
        <w:t xml:space="preserve">West Bank was 149 in </w:t>
      </w:r>
      <w:r w:rsidRPr="00D338CE">
        <w:rPr>
          <w:b w:val="0"/>
          <w:bCs w:val="0"/>
          <w:sz w:val="19"/>
          <w:szCs w:val="19"/>
          <w:rtl/>
        </w:rPr>
        <w:t>2023</w:t>
      </w:r>
      <w:r w:rsidRPr="00D338CE">
        <w:rPr>
          <w:b w:val="0"/>
          <w:bCs w:val="0"/>
          <w:sz w:val="19"/>
          <w:szCs w:val="19"/>
        </w:rPr>
        <w:t xml:space="preserve">. The associations concentrate their activities on agricultural production.  </w:t>
      </w:r>
    </w:p>
    <w:p w14:paraId="01624B8A" w14:textId="77777777" w:rsidR="00F93A55" w:rsidRPr="00927676" w:rsidRDefault="00F93A55" w:rsidP="00F93A55">
      <w:pPr>
        <w:pStyle w:val="BodyText2"/>
        <w:ind w:left="360"/>
        <w:jc w:val="both"/>
        <w:rPr>
          <w:b w:val="0"/>
          <w:bCs w:val="0"/>
          <w:sz w:val="19"/>
          <w:szCs w:val="19"/>
        </w:rPr>
      </w:pPr>
    </w:p>
    <w:p w14:paraId="32F88D6E"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 xml:space="preserve">The number of agricultural registered engineers in the West Bank amounted to </w:t>
      </w:r>
      <w:r w:rsidRPr="00927676">
        <w:rPr>
          <w:b w:val="0"/>
          <w:bCs w:val="0"/>
          <w:sz w:val="19"/>
          <w:szCs w:val="19"/>
          <w:rtl/>
        </w:rPr>
        <w:t>2,122</w:t>
      </w:r>
      <w:r w:rsidRPr="00927676">
        <w:rPr>
          <w:b w:val="0"/>
          <w:bCs w:val="0"/>
          <w:sz w:val="19"/>
          <w:szCs w:val="19"/>
        </w:rPr>
        <w:t xml:space="preserve"> in 2023. </w:t>
      </w:r>
    </w:p>
    <w:p w14:paraId="04567375" w14:textId="77777777" w:rsidR="00F93A55" w:rsidRPr="00927676" w:rsidRDefault="00F93A55" w:rsidP="00F93A55">
      <w:pPr>
        <w:pStyle w:val="BodyText2"/>
        <w:ind w:left="360"/>
        <w:jc w:val="both"/>
        <w:rPr>
          <w:b w:val="0"/>
          <w:bCs w:val="0"/>
          <w:sz w:val="19"/>
          <w:szCs w:val="19"/>
        </w:rPr>
      </w:pPr>
    </w:p>
    <w:p w14:paraId="0397FADB"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Data of 2023 indicate</w:t>
      </w:r>
      <w:r>
        <w:rPr>
          <w:b w:val="0"/>
          <w:bCs w:val="0"/>
          <w:sz w:val="19"/>
          <w:szCs w:val="19"/>
        </w:rPr>
        <w:t>d</w:t>
      </w:r>
      <w:r w:rsidRPr="00D338CE">
        <w:rPr>
          <w:b w:val="0"/>
          <w:bCs w:val="0"/>
          <w:sz w:val="19"/>
          <w:szCs w:val="19"/>
        </w:rPr>
        <w:t xml:space="preserve"> that the number of nurseries in the West Bank wa</w:t>
      </w:r>
      <w:r w:rsidRPr="00E24D21">
        <w:rPr>
          <w:b w:val="0"/>
          <w:bCs w:val="0"/>
          <w:sz w:val="19"/>
          <w:szCs w:val="19"/>
        </w:rPr>
        <w:t xml:space="preserve">s 133, where the area of nurseries in </w:t>
      </w:r>
      <w:r>
        <w:rPr>
          <w:b w:val="0"/>
          <w:bCs w:val="0"/>
          <w:sz w:val="19"/>
          <w:szCs w:val="19"/>
        </w:rPr>
        <w:t xml:space="preserve">the </w:t>
      </w:r>
      <w:r w:rsidRPr="00E24D21">
        <w:rPr>
          <w:b w:val="0"/>
          <w:bCs w:val="0"/>
          <w:sz w:val="19"/>
          <w:szCs w:val="19"/>
        </w:rPr>
        <w:t xml:space="preserve">West Bank was </w:t>
      </w:r>
      <w:r w:rsidRPr="00E24D21">
        <w:rPr>
          <w:b w:val="0"/>
          <w:bCs w:val="0"/>
          <w:sz w:val="19"/>
          <w:szCs w:val="19"/>
          <w:rtl/>
        </w:rPr>
        <w:t>1,368.6</w:t>
      </w:r>
      <w:r w:rsidRPr="00E24D21">
        <w:rPr>
          <w:b w:val="0"/>
          <w:bCs w:val="0"/>
          <w:sz w:val="19"/>
          <w:szCs w:val="19"/>
        </w:rPr>
        <w:t xml:space="preserve"> dunums. The average of nursery area was </w:t>
      </w:r>
      <w:r w:rsidRPr="00927676">
        <w:rPr>
          <w:b w:val="0"/>
          <w:bCs w:val="0"/>
          <w:sz w:val="19"/>
          <w:szCs w:val="19"/>
          <w:rtl/>
        </w:rPr>
        <w:t>10.29</w:t>
      </w:r>
      <w:r w:rsidRPr="00927676">
        <w:rPr>
          <w:b w:val="0"/>
          <w:bCs w:val="0"/>
          <w:sz w:val="19"/>
          <w:szCs w:val="19"/>
        </w:rPr>
        <w:t xml:space="preserve"> dunums.</w:t>
      </w:r>
    </w:p>
    <w:p w14:paraId="787F46E2" w14:textId="77777777" w:rsidR="00F93A55" w:rsidRPr="00927676" w:rsidRDefault="00F93A55" w:rsidP="00F93A55">
      <w:pPr>
        <w:pStyle w:val="BodyText2"/>
        <w:numPr>
          <w:ilvl w:val="0"/>
          <w:numId w:val="8"/>
        </w:numPr>
        <w:jc w:val="both"/>
        <w:rPr>
          <w:b w:val="0"/>
          <w:bCs w:val="0"/>
          <w:sz w:val="19"/>
          <w:szCs w:val="19"/>
        </w:rPr>
      </w:pPr>
      <w:r w:rsidRPr="00927676">
        <w:rPr>
          <w:b w:val="0"/>
          <w:bCs w:val="0"/>
          <w:sz w:val="19"/>
          <w:szCs w:val="19"/>
        </w:rPr>
        <w:t>The total number of vaccinated animals in the West Bank was</w:t>
      </w:r>
      <w:r w:rsidRPr="00927676">
        <w:rPr>
          <w:b w:val="0"/>
          <w:bCs w:val="0"/>
          <w:sz w:val="19"/>
          <w:szCs w:val="19"/>
          <w:rtl/>
        </w:rPr>
        <w:t xml:space="preserve">1,998,762 </w:t>
      </w:r>
      <w:r w:rsidRPr="00927676">
        <w:rPr>
          <w:b w:val="0"/>
          <w:bCs w:val="0"/>
          <w:sz w:val="19"/>
          <w:szCs w:val="19"/>
        </w:rPr>
        <w:t xml:space="preserve"> heads during 2023.</w:t>
      </w:r>
    </w:p>
    <w:p w14:paraId="45CF51D0" w14:textId="77777777" w:rsidR="00F93A55" w:rsidRPr="00927676" w:rsidRDefault="00F93A55" w:rsidP="00F93A55">
      <w:pPr>
        <w:pStyle w:val="ListParagraph"/>
        <w:bidi w:val="0"/>
        <w:ind w:left="360"/>
        <w:rPr>
          <w:rFonts w:cs="Times New Roman"/>
          <w:b/>
          <w:bCs/>
          <w:sz w:val="20"/>
          <w:rtl/>
        </w:rPr>
      </w:pPr>
    </w:p>
    <w:p w14:paraId="3D82649D" w14:textId="77777777" w:rsidR="00F93A55" w:rsidRPr="00927676" w:rsidRDefault="00F93A55" w:rsidP="00F93A55">
      <w:pPr>
        <w:pStyle w:val="ListParagraph"/>
        <w:numPr>
          <w:ilvl w:val="1"/>
          <w:numId w:val="17"/>
        </w:numPr>
        <w:bidi w:val="0"/>
        <w:ind w:left="426" w:hanging="426"/>
        <w:rPr>
          <w:rFonts w:cs="Times New Roman"/>
          <w:b/>
          <w:bCs/>
          <w:sz w:val="20"/>
        </w:rPr>
      </w:pPr>
      <w:r w:rsidRPr="00927676">
        <w:rPr>
          <w:rFonts w:cs="Times New Roman"/>
          <w:b/>
          <w:bCs/>
          <w:sz w:val="20"/>
        </w:rPr>
        <w:t>Environment and Natural Resources</w:t>
      </w:r>
    </w:p>
    <w:p w14:paraId="4E5AC2E3" w14:textId="77777777" w:rsidR="00F93A55" w:rsidRPr="00927676" w:rsidRDefault="00F93A55" w:rsidP="00F93A55">
      <w:pPr>
        <w:pStyle w:val="BodyText2"/>
        <w:jc w:val="both"/>
        <w:rPr>
          <w:sz w:val="20"/>
          <w:szCs w:val="20"/>
        </w:rPr>
      </w:pPr>
      <w:r w:rsidRPr="00927676">
        <w:rPr>
          <w:sz w:val="20"/>
          <w:szCs w:val="20"/>
        </w:rPr>
        <w:t>2.2.1 Land Use</w:t>
      </w:r>
    </w:p>
    <w:p w14:paraId="0AF34EDE" w14:textId="003D8AA1" w:rsidR="00F93A55" w:rsidRDefault="00F93A55" w:rsidP="00F93A55">
      <w:pPr>
        <w:pStyle w:val="BodyText2"/>
        <w:numPr>
          <w:ilvl w:val="0"/>
          <w:numId w:val="8"/>
        </w:numPr>
        <w:jc w:val="both"/>
        <w:rPr>
          <w:b w:val="0"/>
          <w:bCs w:val="0"/>
          <w:sz w:val="19"/>
          <w:szCs w:val="19"/>
        </w:rPr>
      </w:pPr>
      <w:r w:rsidRPr="00927676">
        <w:rPr>
          <w:b w:val="0"/>
          <w:bCs w:val="0"/>
          <w:sz w:val="19"/>
          <w:szCs w:val="19"/>
        </w:rPr>
        <w:t xml:space="preserve">The cultivated land area in </w:t>
      </w:r>
      <w:r w:rsidRPr="00E24D21">
        <w:rPr>
          <w:b w:val="0"/>
          <w:bCs w:val="0"/>
          <w:sz w:val="19"/>
          <w:szCs w:val="19"/>
        </w:rPr>
        <w:t>the State of Palestine reached about 1,021.5 km</w:t>
      </w:r>
      <w:r w:rsidRPr="00E24D21">
        <w:rPr>
          <w:b w:val="0"/>
          <w:bCs w:val="0"/>
          <w:sz w:val="19"/>
          <w:szCs w:val="19"/>
          <w:vertAlign w:val="superscript"/>
        </w:rPr>
        <w:t>2</w:t>
      </w:r>
      <w:r w:rsidRPr="00E24D21">
        <w:rPr>
          <w:b w:val="0"/>
          <w:bCs w:val="0"/>
          <w:sz w:val="19"/>
          <w:szCs w:val="19"/>
        </w:rPr>
        <w:t xml:space="preserve"> during 2021, representing about 17.0% of the total area of the State of Palestine, of which 676.9 km</w:t>
      </w:r>
      <w:r w:rsidRPr="00927676">
        <w:rPr>
          <w:b w:val="0"/>
          <w:bCs w:val="0"/>
          <w:sz w:val="19"/>
          <w:szCs w:val="19"/>
          <w:vertAlign w:val="superscript"/>
        </w:rPr>
        <w:t>2</w:t>
      </w:r>
      <w:r w:rsidRPr="00927676">
        <w:rPr>
          <w:b w:val="0"/>
          <w:bCs w:val="0"/>
          <w:sz w:val="19"/>
          <w:szCs w:val="19"/>
        </w:rPr>
        <w:t xml:space="preserve"> is a permanent cultivated land area and 344.6 km</w:t>
      </w:r>
      <w:r w:rsidRPr="00927676">
        <w:rPr>
          <w:b w:val="0"/>
          <w:bCs w:val="0"/>
          <w:sz w:val="19"/>
          <w:szCs w:val="19"/>
          <w:vertAlign w:val="superscript"/>
        </w:rPr>
        <w:t>2</w:t>
      </w:r>
      <w:r w:rsidRPr="00927676">
        <w:rPr>
          <w:b w:val="0"/>
          <w:bCs w:val="0"/>
          <w:sz w:val="19"/>
          <w:szCs w:val="19"/>
        </w:rPr>
        <w:t xml:space="preserve"> is a temporary cultivated land area, while the </w:t>
      </w:r>
      <w:r w:rsidRPr="00927676">
        <w:rPr>
          <w:b w:val="0"/>
          <w:bCs w:val="0"/>
          <w:sz w:val="19"/>
          <w:szCs w:val="19"/>
        </w:rPr>
        <w:lastRenderedPageBreak/>
        <w:t>irrigated cultivated area amounted 230.1 km</w:t>
      </w:r>
      <w:r w:rsidRPr="00927676">
        <w:rPr>
          <w:b w:val="0"/>
          <w:bCs w:val="0"/>
          <w:sz w:val="19"/>
          <w:szCs w:val="19"/>
          <w:vertAlign w:val="superscript"/>
        </w:rPr>
        <w:t>2</w:t>
      </w:r>
      <w:r w:rsidRPr="00927676">
        <w:rPr>
          <w:b w:val="0"/>
          <w:bCs w:val="0"/>
          <w:sz w:val="19"/>
          <w:szCs w:val="19"/>
        </w:rPr>
        <w:t xml:space="preserve">, representing about 22.5% of the total cultivated land area. </w:t>
      </w:r>
    </w:p>
    <w:p w14:paraId="33254A4E" w14:textId="77777777" w:rsidR="00F93A55" w:rsidRPr="00E24D21" w:rsidRDefault="00F93A55" w:rsidP="00F93A55">
      <w:pPr>
        <w:pStyle w:val="BodyText2"/>
        <w:numPr>
          <w:ilvl w:val="0"/>
          <w:numId w:val="8"/>
        </w:numPr>
        <w:jc w:val="both"/>
        <w:rPr>
          <w:b w:val="0"/>
          <w:bCs w:val="0"/>
          <w:sz w:val="19"/>
          <w:szCs w:val="19"/>
        </w:rPr>
      </w:pPr>
      <w:r w:rsidRPr="00927676">
        <w:rPr>
          <w:b w:val="0"/>
          <w:bCs w:val="0"/>
          <w:sz w:val="19"/>
          <w:szCs w:val="19"/>
        </w:rPr>
        <w:t>The cultivated land area in the West Bank was about 937.4 km</w:t>
      </w:r>
      <w:r w:rsidRPr="00927676">
        <w:rPr>
          <w:b w:val="0"/>
          <w:bCs w:val="0"/>
          <w:sz w:val="19"/>
          <w:szCs w:val="19"/>
          <w:vertAlign w:val="superscript"/>
        </w:rPr>
        <w:t>2</w:t>
      </w:r>
      <w:r w:rsidRPr="00927676">
        <w:rPr>
          <w:b w:val="0"/>
          <w:bCs w:val="0"/>
          <w:sz w:val="19"/>
          <w:szCs w:val="19"/>
        </w:rPr>
        <w:t>, representing about 91.8% of the total cultivated land area, while the cultivated land area in Gaza Strip was about 84.1 km</w:t>
      </w:r>
      <w:r w:rsidRPr="00927676">
        <w:rPr>
          <w:b w:val="0"/>
          <w:bCs w:val="0"/>
          <w:sz w:val="19"/>
          <w:szCs w:val="19"/>
          <w:vertAlign w:val="superscript"/>
        </w:rPr>
        <w:t>2</w:t>
      </w:r>
      <w:r w:rsidRPr="00927676">
        <w:rPr>
          <w:b w:val="0"/>
          <w:bCs w:val="0"/>
          <w:sz w:val="19"/>
          <w:szCs w:val="19"/>
        </w:rPr>
        <w:t xml:space="preserve">, representing about 8.2% of the total cultivated land area. Jenin Governorate </w:t>
      </w:r>
      <w:r>
        <w:rPr>
          <w:b w:val="0"/>
          <w:bCs w:val="0"/>
          <w:sz w:val="19"/>
          <w:szCs w:val="19"/>
        </w:rPr>
        <w:t>had</w:t>
      </w:r>
      <w:r w:rsidRPr="00E24D21">
        <w:rPr>
          <w:b w:val="0"/>
          <w:bCs w:val="0"/>
          <w:sz w:val="19"/>
          <w:szCs w:val="19"/>
        </w:rPr>
        <w:t xml:space="preserve"> the highest percentage of cultivated land area with 25.9%, followed by Hebron Governorate with 13.1%. </w:t>
      </w:r>
    </w:p>
    <w:p w14:paraId="38A059E5" w14:textId="77777777" w:rsidR="00F93A55" w:rsidRPr="00E24D21" w:rsidRDefault="00F93A55" w:rsidP="00F93A55">
      <w:pPr>
        <w:pStyle w:val="BodyText2"/>
        <w:numPr>
          <w:ilvl w:val="0"/>
          <w:numId w:val="8"/>
        </w:numPr>
        <w:jc w:val="both"/>
        <w:rPr>
          <w:b w:val="0"/>
          <w:bCs w:val="0"/>
          <w:sz w:val="19"/>
          <w:szCs w:val="19"/>
        </w:rPr>
      </w:pPr>
      <w:r>
        <w:rPr>
          <w:b w:val="0"/>
          <w:bCs w:val="0"/>
          <w:sz w:val="19"/>
          <w:szCs w:val="19"/>
        </w:rPr>
        <w:t>T</w:t>
      </w:r>
      <w:r w:rsidRPr="00E24D21">
        <w:rPr>
          <w:b w:val="0"/>
          <w:bCs w:val="0"/>
          <w:sz w:val="19"/>
          <w:szCs w:val="19"/>
        </w:rPr>
        <w:t>he lowest percentage of cultivated land area was in Gaza Strip and Jerusalem (includ</w:t>
      </w:r>
      <w:r>
        <w:rPr>
          <w:b w:val="0"/>
          <w:bCs w:val="0"/>
          <w:sz w:val="19"/>
          <w:szCs w:val="19"/>
        </w:rPr>
        <w:t>ing</w:t>
      </w:r>
      <w:r w:rsidRPr="00E24D21">
        <w:rPr>
          <w:b w:val="0"/>
          <w:bCs w:val="0"/>
          <w:sz w:val="19"/>
          <w:szCs w:val="19"/>
        </w:rPr>
        <w:t xml:space="preserve"> J1) Governorates with a percentage of 0.9</w:t>
      </w:r>
      <w:r>
        <w:rPr>
          <w:b w:val="0"/>
          <w:bCs w:val="0"/>
          <w:sz w:val="19"/>
          <w:szCs w:val="19"/>
        </w:rPr>
        <w:t>%</w:t>
      </w:r>
      <w:r w:rsidRPr="00E24D21">
        <w:rPr>
          <w:b w:val="0"/>
          <w:bCs w:val="0"/>
          <w:sz w:val="19"/>
          <w:szCs w:val="19"/>
        </w:rPr>
        <w:t xml:space="preserve"> and 1.0%, respectively, of the total cultivated land area.</w:t>
      </w:r>
    </w:p>
    <w:p w14:paraId="7AA56B92" w14:textId="77777777" w:rsidR="00F93A55" w:rsidRPr="00927676" w:rsidRDefault="00F93A55" w:rsidP="00F93A55">
      <w:pPr>
        <w:pStyle w:val="BodyText2"/>
        <w:ind w:left="360"/>
        <w:jc w:val="both"/>
        <w:rPr>
          <w:b w:val="0"/>
          <w:bCs w:val="0"/>
          <w:sz w:val="19"/>
          <w:szCs w:val="19"/>
        </w:rPr>
      </w:pPr>
    </w:p>
    <w:p w14:paraId="371CC7E3" w14:textId="77777777" w:rsidR="00F93A55" w:rsidRPr="00927676" w:rsidRDefault="00F93A55" w:rsidP="00F93A55">
      <w:pPr>
        <w:pStyle w:val="BodyText2"/>
        <w:jc w:val="both"/>
        <w:rPr>
          <w:sz w:val="20"/>
          <w:szCs w:val="20"/>
        </w:rPr>
      </w:pPr>
      <w:r w:rsidRPr="00927676">
        <w:rPr>
          <w:sz w:val="20"/>
          <w:szCs w:val="20"/>
        </w:rPr>
        <w:t>2.2.2 Water</w:t>
      </w:r>
    </w:p>
    <w:p w14:paraId="662D0F14" w14:textId="77777777" w:rsidR="00F93A55" w:rsidRPr="00E24D21" w:rsidRDefault="00F93A55" w:rsidP="00F93A55">
      <w:pPr>
        <w:pStyle w:val="BodyText2"/>
        <w:numPr>
          <w:ilvl w:val="0"/>
          <w:numId w:val="8"/>
        </w:numPr>
        <w:rPr>
          <w:b w:val="0"/>
          <w:bCs w:val="0"/>
          <w:sz w:val="19"/>
          <w:szCs w:val="19"/>
        </w:rPr>
      </w:pPr>
      <w:r w:rsidRPr="00927676">
        <w:rPr>
          <w:b w:val="0"/>
          <w:bCs w:val="0"/>
          <w:sz w:val="19"/>
          <w:szCs w:val="19"/>
        </w:rPr>
        <w:t xml:space="preserve">The quantity of annual available water in 2023 was 396.1 MCM, of which 261.3 MCM was water pumped from Palestinian wells, 98.5 MCM was purchased from the Israeli Mekorot </w:t>
      </w:r>
      <w:r>
        <w:rPr>
          <w:b w:val="0"/>
          <w:bCs w:val="0"/>
          <w:sz w:val="19"/>
          <w:szCs w:val="19"/>
        </w:rPr>
        <w:t>W</w:t>
      </w:r>
      <w:r w:rsidRPr="00E24D21">
        <w:rPr>
          <w:b w:val="0"/>
          <w:bCs w:val="0"/>
          <w:sz w:val="19"/>
          <w:szCs w:val="19"/>
        </w:rPr>
        <w:t xml:space="preserve">ater </w:t>
      </w:r>
      <w:r>
        <w:rPr>
          <w:b w:val="0"/>
          <w:bCs w:val="0"/>
          <w:sz w:val="19"/>
          <w:szCs w:val="19"/>
        </w:rPr>
        <w:t>C</w:t>
      </w:r>
      <w:r w:rsidRPr="00E24D21">
        <w:rPr>
          <w:b w:val="0"/>
          <w:bCs w:val="0"/>
          <w:sz w:val="19"/>
          <w:szCs w:val="19"/>
        </w:rPr>
        <w:t>ompany, and 28.3 MCM was discharged from water springs.</w:t>
      </w:r>
    </w:p>
    <w:p w14:paraId="69A85445" w14:textId="77777777" w:rsidR="00F93A55" w:rsidRPr="00927676" w:rsidRDefault="00F93A55" w:rsidP="00F93A55">
      <w:pPr>
        <w:pStyle w:val="BodyText2"/>
        <w:jc w:val="both"/>
        <w:rPr>
          <w:b w:val="0"/>
          <w:bCs w:val="0"/>
          <w:sz w:val="19"/>
          <w:szCs w:val="19"/>
        </w:rPr>
      </w:pPr>
    </w:p>
    <w:p w14:paraId="79B5CB61" w14:textId="77777777" w:rsidR="00F93A55" w:rsidRPr="00927676" w:rsidRDefault="00F93A55" w:rsidP="00F93A55">
      <w:pPr>
        <w:pStyle w:val="BodyText2"/>
        <w:jc w:val="both"/>
        <w:rPr>
          <w:sz w:val="20"/>
          <w:szCs w:val="20"/>
        </w:rPr>
      </w:pPr>
      <w:r w:rsidRPr="00927676">
        <w:rPr>
          <w:sz w:val="20"/>
          <w:szCs w:val="20"/>
        </w:rPr>
        <w:t>2.2.3 Meteorological Conditions</w:t>
      </w:r>
    </w:p>
    <w:p w14:paraId="4E485328" w14:textId="77777777" w:rsidR="00F93A55" w:rsidRPr="00E24D21" w:rsidRDefault="00F93A55" w:rsidP="00F93A55">
      <w:pPr>
        <w:pStyle w:val="BodyText2"/>
        <w:numPr>
          <w:ilvl w:val="0"/>
          <w:numId w:val="8"/>
        </w:numPr>
        <w:jc w:val="both"/>
        <w:rPr>
          <w:b w:val="0"/>
          <w:bCs w:val="0"/>
          <w:sz w:val="19"/>
          <w:szCs w:val="19"/>
        </w:rPr>
      </w:pPr>
      <w:r w:rsidRPr="00927676">
        <w:rPr>
          <w:b w:val="0"/>
          <w:bCs w:val="0"/>
          <w:sz w:val="19"/>
          <w:szCs w:val="19"/>
        </w:rPr>
        <w:t xml:space="preserve">The highest amount of rainfall from the beginning of the current rain season 2024/2025 till 02/03/2025 was 332 mm in Salfit </w:t>
      </w:r>
      <w:r>
        <w:rPr>
          <w:b w:val="0"/>
          <w:bCs w:val="0"/>
          <w:sz w:val="19"/>
          <w:szCs w:val="19"/>
        </w:rPr>
        <w:t>S</w:t>
      </w:r>
      <w:r w:rsidRPr="00E24D21">
        <w:rPr>
          <w:b w:val="0"/>
          <w:bCs w:val="0"/>
          <w:sz w:val="19"/>
          <w:szCs w:val="19"/>
        </w:rPr>
        <w:t>tation.</w:t>
      </w:r>
    </w:p>
    <w:p w14:paraId="07922B7B" w14:textId="77777777" w:rsidR="00FB1DBA" w:rsidRPr="00B343CC" w:rsidRDefault="00FB1DBA" w:rsidP="00FB1DBA">
      <w:pPr>
        <w:bidi w:val="0"/>
        <w:jc w:val="center"/>
        <w:rPr>
          <w:rFonts w:asciiTheme="majorBidi" w:hAnsiTheme="majorBidi" w:cstheme="majorBidi"/>
          <w:b/>
          <w:bCs/>
          <w:sz w:val="18"/>
          <w:szCs w:val="18"/>
        </w:rPr>
      </w:pPr>
    </w:p>
    <w:p w14:paraId="0D9AC462" w14:textId="77777777" w:rsidR="00FB1DBA" w:rsidRPr="00B343CC" w:rsidRDefault="00FB1DBA" w:rsidP="00FB1DBA">
      <w:pPr>
        <w:bidi w:val="0"/>
        <w:jc w:val="center"/>
        <w:rPr>
          <w:rFonts w:asciiTheme="majorBidi" w:hAnsiTheme="majorBidi" w:cstheme="majorBidi"/>
          <w:b/>
          <w:bCs/>
          <w:sz w:val="18"/>
          <w:szCs w:val="18"/>
        </w:rPr>
      </w:pPr>
      <w:r w:rsidRPr="00B343CC">
        <w:rPr>
          <w:rFonts w:asciiTheme="majorBidi" w:hAnsiTheme="majorBidi" w:cstheme="majorBidi"/>
          <w:b/>
          <w:bCs/>
          <w:sz w:val="18"/>
          <w:szCs w:val="18"/>
        </w:rPr>
        <w:t xml:space="preserve">Rainfall Quantity (mm) in the West Bank from the Beginning of the Current Rain Season 2024/2025 till </w:t>
      </w:r>
      <w:r w:rsidRPr="00B343CC">
        <w:rPr>
          <w:rFonts w:asciiTheme="majorBidi" w:hAnsiTheme="majorBidi" w:cstheme="majorBidi" w:hint="cs"/>
          <w:b/>
          <w:bCs/>
          <w:sz w:val="18"/>
          <w:szCs w:val="18"/>
          <w:rtl/>
        </w:rPr>
        <w:t>02</w:t>
      </w:r>
      <w:r w:rsidRPr="00B343CC">
        <w:rPr>
          <w:rFonts w:asciiTheme="majorBidi" w:hAnsiTheme="majorBidi" w:cstheme="majorBidi"/>
          <w:b/>
          <w:bCs/>
          <w:sz w:val="18"/>
          <w:szCs w:val="18"/>
        </w:rPr>
        <w:t>/03/2025 by Station Location</w:t>
      </w:r>
    </w:p>
    <w:p w14:paraId="181E2CE6" w14:textId="05DA8CCD" w:rsidR="00FB548C" w:rsidRPr="00B343CC" w:rsidRDefault="00FB1DBA" w:rsidP="00FB1DBA">
      <w:pPr>
        <w:bidi w:val="0"/>
        <w:rPr>
          <w:rFonts w:ascii="Arial" w:hAnsi="Arial" w:cs="Arial"/>
          <w:noProof w:val="0"/>
        </w:rPr>
      </w:pPr>
      <w:r w:rsidRPr="00B343CC">
        <w:rPr>
          <w:bdr w:val="single" w:sz="4" w:space="0" w:color="auto" w:frame="1"/>
        </w:rPr>
        <w:drawing>
          <wp:inline distT="0" distB="0" distL="0" distR="0" wp14:anchorId="355C445D" wp14:editId="2DB541A7">
            <wp:extent cx="4681253" cy="2013585"/>
            <wp:effectExtent l="0" t="0" r="0" b="0"/>
            <wp:docPr id="5" name="Objec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E84D632" w14:textId="77777777" w:rsidR="00E958DE" w:rsidRPr="00E24D21" w:rsidRDefault="00E958DE" w:rsidP="00E958DE">
      <w:pPr>
        <w:bidi w:val="0"/>
        <w:rPr>
          <w:rFonts w:cs="Times New Roman"/>
          <w:b/>
          <w:bCs/>
        </w:rPr>
      </w:pPr>
      <w:r w:rsidRPr="00E24D21">
        <w:rPr>
          <w:rFonts w:cs="Times New Roman"/>
          <w:b/>
          <w:bCs/>
        </w:rPr>
        <w:t xml:space="preserve">2.2.4 </w:t>
      </w:r>
      <w:r w:rsidRPr="00470E5C">
        <w:rPr>
          <w:rFonts w:cs="Times New Roman"/>
          <w:b/>
          <w:bCs/>
        </w:rPr>
        <w:t>Energy</w:t>
      </w:r>
    </w:p>
    <w:p w14:paraId="491A2BE2" w14:textId="77777777" w:rsidR="00E958DE" w:rsidRPr="00E24D21" w:rsidRDefault="00E958DE" w:rsidP="00E958DE">
      <w:pPr>
        <w:bidi w:val="0"/>
        <w:rPr>
          <w:rFonts w:cs="Times New Roman"/>
          <w:sz w:val="19"/>
          <w:szCs w:val="19"/>
        </w:rPr>
      </w:pPr>
      <w:r w:rsidRPr="00E24D21">
        <w:rPr>
          <w:rFonts w:cs="Times New Roman"/>
          <w:sz w:val="19"/>
          <w:szCs w:val="19"/>
        </w:rPr>
        <w:t>The amount of imported electric energy in Palestine amounted to about 7.1 million MWh, and the amount of imported gasoline reached about 415.6 million liters, about 994.9 million liters of diesel and about 1.9 million liters of kerosene, in addition to about 188 thousand tons of liquefied petroleum gas during 2023</w:t>
      </w:r>
      <w:r>
        <w:rPr>
          <w:rFonts w:cs="Times New Roman"/>
          <w:sz w:val="19"/>
          <w:szCs w:val="19"/>
        </w:rPr>
        <w:t>.</w:t>
      </w:r>
    </w:p>
    <w:p w14:paraId="0C12505A" w14:textId="77777777" w:rsidR="00E958DE" w:rsidRPr="00E24D21" w:rsidRDefault="00E958DE" w:rsidP="00E958DE">
      <w:pPr>
        <w:pStyle w:val="BodyText3"/>
        <w:rPr>
          <w:sz w:val="22"/>
          <w:szCs w:val="14"/>
        </w:rPr>
      </w:pPr>
    </w:p>
    <w:p w14:paraId="35A1389B" w14:textId="77777777" w:rsidR="00E958DE" w:rsidRPr="00E24D21" w:rsidRDefault="00E958DE" w:rsidP="00E958DE">
      <w:pPr>
        <w:bidi w:val="0"/>
        <w:rPr>
          <w:b/>
          <w:bCs/>
        </w:rPr>
      </w:pPr>
      <w:r w:rsidRPr="00E24D21">
        <w:rPr>
          <w:b/>
          <w:bCs/>
        </w:rPr>
        <w:t>2.2.5 Emissions</w:t>
      </w:r>
    </w:p>
    <w:p w14:paraId="050556B9" w14:textId="77777777" w:rsidR="00E958DE" w:rsidRPr="00E24D21" w:rsidRDefault="00E958DE" w:rsidP="00E958DE">
      <w:pPr>
        <w:pStyle w:val="BodyText2"/>
        <w:numPr>
          <w:ilvl w:val="0"/>
          <w:numId w:val="22"/>
        </w:numPr>
        <w:jc w:val="both"/>
        <w:rPr>
          <w:b w:val="0"/>
          <w:bCs w:val="0"/>
          <w:sz w:val="19"/>
          <w:szCs w:val="19"/>
        </w:rPr>
      </w:pPr>
      <w:r w:rsidRPr="00E24D21">
        <w:rPr>
          <w:b w:val="0"/>
          <w:bCs w:val="0"/>
          <w:sz w:val="19"/>
          <w:szCs w:val="19"/>
        </w:rPr>
        <w:t>The amount of emissions generated from the energy, agriculture</w:t>
      </w:r>
      <w:r>
        <w:rPr>
          <w:b w:val="0"/>
          <w:bCs w:val="0"/>
          <w:sz w:val="19"/>
          <w:szCs w:val="19"/>
        </w:rPr>
        <w:t>,</w:t>
      </w:r>
      <w:r w:rsidRPr="00E24D21">
        <w:rPr>
          <w:b w:val="0"/>
          <w:bCs w:val="0"/>
          <w:sz w:val="19"/>
          <w:szCs w:val="19"/>
        </w:rPr>
        <w:t xml:space="preserve"> and waste sectors in Palestine during 20</w:t>
      </w:r>
      <w:r w:rsidRPr="00E24D21">
        <w:rPr>
          <w:b w:val="0"/>
          <w:bCs w:val="0"/>
          <w:sz w:val="19"/>
          <w:szCs w:val="19"/>
          <w:rtl/>
        </w:rPr>
        <w:t>23</w:t>
      </w:r>
      <w:r w:rsidRPr="00E24D21">
        <w:rPr>
          <w:b w:val="0"/>
          <w:bCs w:val="0"/>
          <w:sz w:val="19"/>
          <w:szCs w:val="19"/>
        </w:rPr>
        <w:t xml:space="preserve"> was estimated at about 5,570 thousand equivalent tons of carbon dioxide (CO2).</w:t>
      </w:r>
    </w:p>
    <w:p w14:paraId="38DCA477" w14:textId="3E881ABF" w:rsidR="00E958DE" w:rsidRDefault="00E958DE" w:rsidP="00E958DE">
      <w:pPr>
        <w:pStyle w:val="ListParagraph"/>
        <w:bidi w:val="0"/>
        <w:contextualSpacing/>
        <w:jc w:val="both"/>
        <w:rPr>
          <w:rFonts w:cs="Times New Roman"/>
          <w:sz w:val="20"/>
          <w:rtl/>
        </w:rPr>
      </w:pPr>
    </w:p>
    <w:p w14:paraId="0676D8F2" w14:textId="3558BC12" w:rsidR="0098516E" w:rsidRDefault="0098516E" w:rsidP="0098516E">
      <w:pPr>
        <w:pStyle w:val="ListParagraph"/>
        <w:bidi w:val="0"/>
        <w:contextualSpacing/>
        <w:jc w:val="both"/>
        <w:rPr>
          <w:rFonts w:cs="Times New Roman"/>
          <w:sz w:val="20"/>
          <w:rtl/>
        </w:rPr>
      </w:pPr>
    </w:p>
    <w:p w14:paraId="2833DE00" w14:textId="5DC12CE2" w:rsidR="0098516E" w:rsidRDefault="0098516E" w:rsidP="0098516E">
      <w:pPr>
        <w:pStyle w:val="ListParagraph"/>
        <w:bidi w:val="0"/>
        <w:contextualSpacing/>
        <w:jc w:val="both"/>
        <w:rPr>
          <w:rFonts w:cs="Times New Roman"/>
          <w:sz w:val="20"/>
          <w:rtl/>
        </w:rPr>
      </w:pPr>
    </w:p>
    <w:p w14:paraId="56E3D129" w14:textId="77777777" w:rsidR="0098516E" w:rsidRPr="00E24D21" w:rsidRDefault="0098516E" w:rsidP="0098516E">
      <w:pPr>
        <w:pStyle w:val="ListParagraph"/>
        <w:bidi w:val="0"/>
        <w:contextualSpacing/>
        <w:jc w:val="both"/>
        <w:rPr>
          <w:rFonts w:cs="Times New Roman"/>
          <w:sz w:val="20"/>
        </w:rPr>
      </w:pPr>
    </w:p>
    <w:p w14:paraId="039E37FC" w14:textId="77777777" w:rsidR="00E958DE" w:rsidRPr="00E24D21" w:rsidRDefault="00E958DE" w:rsidP="00E958DE">
      <w:pPr>
        <w:pStyle w:val="ListParagraph"/>
        <w:numPr>
          <w:ilvl w:val="1"/>
          <w:numId w:val="17"/>
        </w:numPr>
        <w:bidi w:val="0"/>
        <w:ind w:left="426" w:hanging="426"/>
        <w:rPr>
          <w:rFonts w:cs="Times New Roman"/>
          <w:b/>
          <w:bCs/>
          <w:sz w:val="20"/>
        </w:rPr>
      </w:pPr>
      <w:r w:rsidRPr="00E24D21">
        <w:rPr>
          <w:rFonts w:cs="Times New Roman"/>
          <w:b/>
          <w:bCs/>
          <w:sz w:val="20"/>
        </w:rPr>
        <w:lastRenderedPageBreak/>
        <w:t xml:space="preserve">Buildings and Housing Conditions  </w:t>
      </w:r>
    </w:p>
    <w:p w14:paraId="67D66E59" w14:textId="77777777" w:rsidR="00E958DE" w:rsidRPr="00E24D21" w:rsidRDefault="00E958DE" w:rsidP="00E958DE">
      <w:pPr>
        <w:jc w:val="right"/>
        <w:rPr>
          <w:rFonts w:cs="Times New Roman"/>
          <w:b/>
          <w:bCs/>
          <w:rtl/>
        </w:rPr>
      </w:pPr>
      <w:r w:rsidRPr="00E24D21">
        <w:rPr>
          <w:rFonts w:cs="Times New Roman"/>
          <w:b/>
          <w:bCs/>
        </w:rPr>
        <w:t>2.3.1 Housing Density</w:t>
      </w:r>
    </w:p>
    <w:p w14:paraId="28544831" w14:textId="77777777" w:rsidR="00E958DE" w:rsidRPr="00E24D21" w:rsidRDefault="00E958DE" w:rsidP="00E958DE">
      <w:pPr>
        <w:pStyle w:val="BodyText2"/>
        <w:numPr>
          <w:ilvl w:val="0"/>
          <w:numId w:val="8"/>
        </w:numPr>
        <w:jc w:val="both"/>
        <w:rPr>
          <w:b w:val="0"/>
          <w:bCs w:val="0"/>
          <w:sz w:val="19"/>
          <w:szCs w:val="19"/>
        </w:rPr>
      </w:pPr>
      <w:r w:rsidRPr="00E24D21">
        <w:rPr>
          <w:b w:val="0"/>
          <w:bCs w:val="0"/>
          <w:sz w:val="19"/>
          <w:szCs w:val="19"/>
        </w:rPr>
        <w:t>Results showed that the average housing density (number of persons per room) in the West Bank in 2024 was 1.4 persons per room: 1.</w:t>
      </w:r>
      <w:r w:rsidRPr="00E24D21">
        <w:rPr>
          <w:b w:val="0"/>
          <w:bCs w:val="0"/>
          <w:sz w:val="19"/>
          <w:szCs w:val="19"/>
          <w:rtl/>
        </w:rPr>
        <w:t>4</w:t>
      </w:r>
      <w:r w:rsidRPr="00E24D21">
        <w:rPr>
          <w:b w:val="0"/>
          <w:bCs w:val="0"/>
          <w:sz w:val="19"/>
          <w:szCs w:val="19"/>
        </w:rPr>
        <w:t xml:space="preserve"> persons per room in urban areas, 1.3 persons per room in rural areas, and 1.6 persons per room in refugee camps.</w:t>
      </w:r>
    </w:p>
    <w:p w14:paraId="44623CF1" w14:textId="77777777" w:rsidR="00E958DE" w:rsidRPr="00E24D21" w:rsidRDefault="00E958DE" w:rsidP="00E958DE">
      <w:pPr>
        <w:pStyle w:val="BodyText2"/>
        <w:ind w:left="360"/>
        <w:jc w:val="both"/>
        <w:rPr>
          <w:b w:val="0"/>
          <w:bCs w:val="0"/>
          <w:sz w:val="19"/>
          <w:szCs w:val="19"/>
        </w:rPr>
      </w:pPr>
    </w:p>
    <w:p w14:paraId="07C8CBC9" w14:textId="77777777" w:rsidR="00E958DE" w:rsidRPr="00E24D21" w:rsidRDefault="00E958DE" w:rsidP="00E958DE">
      <w:pPr>
        <w:jc w:val="right"/>
        <w:rPr>
          <w:rFonts w:cs="Times New Roman"/>
          <w:b/>
          <w:bCs/>
        </w:rPr>
      </w:pPr>
      <w:r w:rsidRPr="00E24D21">
        <w:rPr>
          <w:rFonts w:cs="Times New Roman"/>
          <w:b/>
          <w:bCs/>
        </w:rPr>
        <w:t>2.3.2 Type of Housing Unit</w:t>
      </w:r>
    </w:p>
    <w:p w14:paraId="3D3E9684" w14:textId="77777777" w:rsidR="00E958DE" w:rsidRPr="00550082" w:rsidRDefault="00E958DE" w:rsidP="00E958DE">
      <w:pPr>
        <w:pStyle w:val="BodyText2"/>
        <w:numPr>
          <w:ilvl w:val="0"/>
          <w:numId w:val="8"/>
        </w:numPr>
        <w:jc w:val="both"/>
        <w:rPr>
          <w:b w:val="0"/>
          <w:bCs w:val="0"/>
          <w:sz w:val="19"/>
          <w:szCs w:val="19"/>
        </w:rPr>
      </w:pPr>
      <w:r w:rsidRPr="00E24D21">
        <w:rPr>
          <w:b w:val="0"/>
          <w:bCs w:val="0"/>
          <w:sz w:val="19"/>
          <w:szCs w:val="19"/>
        </w:rPr>
        <w:t xml:space="preserve">60.4% of the West Bank households live in apartment type of housing units, 38.7% of the households live in houses, less than </w:t>
      </w:r>
      <w:r w:rsidRPr="00550082">
        <w:rPr>
          <w:b w:val="0"/>
          <w:bCs w:val="0"/>
          <w:sz w:val="19"/>
          <w:szCs w:val="19"/>
        </w:rPr>
        <w:t>1% of the households live in villas, and less than 1% of the households live in other types of housing units as an independent room, tent, marginal</w:t>
      </w:r>
      <w:r>
        <w:rPr>
          <w:b w:val="0"/>
          <w:bCs w:val="0"/>
          <w:sz w:val="19"/>
          <w:szCs w:val="19"/>
        </w:rPr>
        <w:t xml:space="preserve">, </w:t>
      </w:r>
      <w:r w:rsidRPr="00550082">
        <w:rPr>
          <w:b w:val="0"/>
          <w:bCs w:val="0"/>
          <w:sz w:val="19"/>
          <w:szCs w:val="19"/>
        </w:rPr>
        <w:t>etc</w:t>
      </w:r>
      <w:r>
        <w:rPr>
          <w:b w:val="0"/>
          <w:bCs w:val="0"/>
          <w:sz w:val="19"/>
          <w:szCs w:val="19"/>
        </w:rPr>
        <w:t>.</w:t>
      </w:r>
      <w:r w:rsidRPr="00550082">
        <w:rPr>
          <w:b w:val="0"/>
          <w:bCs w:val="0"/>
          <w:sz w:val="19"/>
          <w:szCs w:val="19"/>
        </w:rPr>
        <w:t xml:space="preserve">, in 2024. </w:t>
      </w:r>
    </w:p>
    <w:p w14:paraId="25211E25" w14:textId="77777777" w:rsidR="00E958DE" w:rsidRPr="00927676" w:rsidRDefault="00E958DE" w:rsidP="00E958DE">
      <w:pPr>
        <w:jc w:val="right"/>
        <w:rPr>
          <w:rFonts w:cs="Times New Roman"/>
          <w:b/>
          <w:bCs/>
        </w:rPr>
      </w:pPr>
    </w:p>
    <w:p w14:paraId="028E4344" w14:textId="77777777" w:rsidR="00E958DE" w:rsidRPr="00927676" w:rsidRDefault="00E958DE" w:rsidP="00E958DE">
      <w:pPr>
        <w:jc w:val="right"/>
        <w:rPr>
          <w:rFonts w:cs="Times New Roman"/>
          <w:b/>
          <w:bCs/>
        </w:rPr>
      </w:pPr>
      <w:r w:rsidRPr="00927676">
        <w:rPr>
          <w:rFonts w:cs="Times New Roman"/>
          <w:b/>
          <w:bCs/>
        </w:rPr>
        <w:t>2.3.3 Tenure of Housing Unit</w:t>
      </w:r>
    </w:p>
    <w:p w14:paraId="26B748AB" w14:textId="77777777" w:rsidR="00E958DE" w:rsidRPr="00F376FE" w:rsidRDefault="00E958DE" w:rsidP="00E958DE">
      <w:pPr>
        <w:pStyle w:val="BodyText2"/>
        <w:numPr>
          <w:ilvl w:val="0"/>
          <w:numId w:val="8"/>
        </w:numPr>
        <w:jc w:val="both"/>
        <w:rPr>
          <w:b w:val="0"/>
          <w:bCs w:val="0"/>
          <w:sz w:val="19"/>
          <w:szCs w:val="19"/>
        </w:rPr>
      </w:pPr>
      <w:r w:rsidRPr="00927676">
        <w:rPr>
          <w:b w:val="0"/>
          <w:bCs w:val="0"/>
          <w:sz w:val="19"/>
          <w:szCs w:val="19"/>
        </w:rPr>
        <w:t xml:space="preserve">87.5% of the households in the West Bank live in owned housing units. In addition, 6.2% of households in the West Bank live in rented housing units. Results also showed that 6.3% of households in the West Bank live without payment and in exchange </w:t>
      </w:r>
      <w:r>
        <w:rPr>
          <w:b w:val="0"/>
          <w:bCs w:val="0"/>
          <w:sz w:val="19"/>
          <w:szCs w:val="19"/>
        </w:rPr>
        <w:t>for</w:t>
      </w:r>
      <w:r w:rsidRPr="00F376FE">
        <w:rPr>
          <w:b w:val="0"/>
          <w:bCs w:val="0"/>
          <w:sz w:val="19"/>
          <w:szCs w:val="19"/>
        </w:rPr>
        <w:t xml:space="preserve"> labour in 2024.</w:t>
      </w:r>
    </w:p>
    <w:p w14:paraId="606B8E1B" w14:textId="77777777" w:rsidR="00E958DE" w:rsidRPr="00927676" w:rsidRDefault="00E958DE" w:rsidP="00E958DE">
      <w:pPr>
        <w:bidi w:val="0"/>
        <w:rPr>
          <w:rFonts w:cs="Times New Roman"/>
          <w:b/>
          <w:bCs/>
        </w:rPr>
      </w:pPr>
    </w:p>
    <w:p w14:paraId="19378551" w14:textId="77777777" w:rsidR="00E958DE" w:rsidRPr="00927676" w:rsidRDefault="00E958DE" w:rsidP="00E958DE">
      <w:pPr>
        <w:pStyle w:val="ListParagraph"/>
        <w:numPr>
          <w:ilvl w:val="1"/>
          <w:numId w:val="17"/>
        </w:numPr>
        <w:bidi w:val="0"/>
        <w:ind w:left="284" w:hanging="284"/>
        <w:rPr>
          <w:rFonts w:cs="Times New Roman"/>
          <w:b/>
          <w:bCs/>
          <w:sz w:val="20"/>
        </w:rPr>
      </w:pPr>
      <w:r w:rsidRPr="00927676">
        <w:rPr>
          <w:rFonts w:cs="Times New Roman"/>
          <w:b/>
          <w:bCs/>
          <w:sz w:val="20"/>
        </w:rPr>
        <w:t xml:space="preserve">Tourism    </w:t>
      </w:r>
    </w:p>
    <w:p w14:paraId="0202304C" w14:textId="77777777" w:rsidR="00E958DE" w:rsidRPr="00F376FE" w:rsidRDefault="00E958DE" w:rsidP="00E958DE">
      <w:pPr>
        <w:pStyle w:val="BodyText2"/>
        <w:numPr>
          <w:ilvl w:val="0"/>
          <w:numId w:val="8"/>
        </w:numPr>
        <w:jc w:val="both"/>
        <w:rPr>
          <w:b w:val="0"/>
          <w:bCs w:val="0"/>
          <w:sz w:val="19"/>
          <w:szCs w:val="19"/>
        </w:rPr>
      </w:pPr>
      <w:r w:rsidRPr="00927676">
        <w:rPr>
          <w:b w:val="0"/>
          <w:bCs w:val="0"/>
          <w:sz w:val="19"/>
          <w:szCs w:val="19"/>
        </w:rPr>
        <w:t xml:space="preserve">94 operating hotels, with an average of 4,033 </w:t>
      </w:r>
      <w:r w:rsidRPr="00F376FE">
        <w:rPr>
          <w:b w:val="0"/>
          <w:bCs w:val="0"/>
          <w:sz w:val="19"/>
          <w:szCs w:val="19"/>
        </w:rPr>
        <w:t>rooms, and an average of 8,781beds.</w:t>
      </w:r>
    </w:p>
    <w:p w14:paraId="29038C1B" w14:textId="77777777" w:rsidR="00E958DE" w:rsidRPr="00F376FE" w:rsidRDefault="00E958DE" w:rsidP="00E958DE">
      <w:pPr>
        <w:pStyle w:val="BodyText2"/>
        <w:numPr>
          <w:ilvl w:val="0"/>
          <w:numId w:val="8"/>
        </w:numPr>
        <w:jc w:val="both"/>
        <w:rPr>
          <w:b w:val="0"/>
          <w:bCs w:val="0"/>
          <w:sz w:val="19"/>
          <w:szCs w:val="19"/>
        </w:rPr>
      </w:pPr>
      <w:r w:rsidRPr="00F376FE">
        <w:rPr>
          <w:b w:val="0"/>
          <w:bCs w:val="0"/>
          <w:sz w:val="19"/>
          <w:szCs w:val="19"/>
        </w:rPr>
        <w:t xml:space="preserve">During 2023, the total number of guests in operating hotels in the West Bank was 164,348. The total number of guest nights was 371,541 in 2024. </w:t>
      </w:r>
    </w:p>
    <w:p w14:paraId="0822C001" w14:textId="77777777" w:rsidR="00E958DE" w:rsidRPr="00927676" w:rsidRDefault="00E958DE" w:rsidP="00E958DE">
      <w:pPr>
        <w:pStyle w:val="BodyText2"/>
        <w:numPr>
          <w:ilvl w:val="0"/>
          <w:numId w:val="8"/>
        </w:numPr>
        <w:jc w:val="both"/>
        <w:rPr>
          <w:b w:val="0"/>
          <w:bCs w:val="0"/>
          <w:sz w:val="19"/>
          <w:szCs w:val="19"/>
        </w:rPr>
      </w:pPr>
      <w:r w:rsidRPr="00F376FE">
        <w:rPr>
          <w:b w:val="0"/>
          <w:bCs w:val="0"/>
          <w:sz w:val="19"/>
          <w:szCs w:val="19"/>
        </w:rPr>
        <w:t>The average number of employed persons in hotels w</w:t>
      </w:r>
      <w:r>
        <w:rPr>
          <w:b w:val="0"/>
          <w:bCs w:val="0"/>
          <w:sz w:val="19"/>
          <w:szCs w:val="19"/>
        </w:rPr>
        <w:t>as</w:t>
      </w:r>
      <w:r w:rsidRPr="00F376FE">
        <w:rPr>
          <w:b w:val="0"/>
          <w:bCs w:val="0"/>
          <w:sz w:val="19"/>
          <w:szCs w:val="19"/>
        </w:rPr>
        <w:t xml:space="preserve"> 2,036: 1855 males and 448</w:t>
      </w:r>
      <w:r w:rsidRPr="00F376FE">
        <w:rPr>
          <w:b w:val="0"/>
          <w:bCs w:val="0"/>
          <w:sz w:val="19"/>
          <w:szCs w:val="19"/>
          <w:rtl/>
        </w:rPr>
        <w:t xml:space="preserve"> </w:t>
      </w:r>
      <w:r w:rsidRPr="00927676">
        <w:rPr>
          <w:b w:val="0"/>
          <w:bCs w:val="0"/>
          <w:sz w:val="19"/>
          <w:szCs w:val="19"/>
        </w:rPr>
        <w:t>females in 2024.</w:t>
      </w:r>
    </w:p>
    <w:p w14:paraId="382CA8D3" w14:textId="77777777" w:rsidR="00E958DE" w:rsidRPr="00927676" w:rsidRDefault="00E958DE" w:rsidP="00E958DE">
      <w:pPr>
        <w:pStyle w:val="BodyText2"/>
        <w:numPr>
          <w:ilvl w:val="0"/>
          <w:numId w:val="8"/>
        </w:numPr>
        <w:jc w:val="both"/>
        <w:rPr>
          <w:b w:val="0"/>
          <w:bCs w:val="0"/>
          <w:sz w:val="19"/>
          <w:szCs w:val="19"/>
        </w:rPr>
      </w:pPr>
      <w:r w:rsidRPr="00927676">
        <w:rPr>
          <w:b w:val="0"/>
          <w:bCs w:val="0"/>
          <w:sz w:val="19"/>
          <w:szCs w:val="19"/>
        </w:rPr>
        <w:t>Average room occupancy percentage was 12.4% in 2024.</w:t>
      </w:r>
    </w:p>
    <w:p w14:paraId="245584EA" w14:textId="77777777" w:rsidR="00E958DE" w:rsidRPr="00927676" w:rsidRDefault="00E958DE" w:rsidP="00E958DE">
      <w:pPr>
        <w:pStyle w:val="BodyText2"/>
        <w:numPr>
          <w:ilvl w:val="0"/>
          <w:numId w:val="8"/>
        </w:numPr>
        <w:jc w:val="both"/>
        <w:rPr>
          <w:b w:val="0"/>
          <w:bCs w:val="0"/>
          <w:sz w:val="19"/>
          <w:szCs w:val="19"/>
        </w:rPr>
      </w:pPr>
      <w:r w:rsidRPr="00927676">
        <w:rPr>
          <w:b w:val="0"/>
          <w:bCs w:val="0"/>
          <w:sz w:val="19"/>
          <w:szCs w:val="19"/>
        </w:rPr>
        <w:t>Average bed occupancy percentage was 11.6% in 2024.</w:t>
      </w:r>
    </w:p>
    <w:p w14:paraId="7FD8CBD0" w14:textId="77777777" w:rsidR="00E958DE" w:rsidRPr="00927676" w:rsidRDefault="00E958DE" w:rsidP="00E958DE">
      <w:pPr>
        <w:pStyle w:val="ListParagraph"/>
        <w:bidi w:val="0"/>
        <w:ind w:left="284" w:hanging="284"/>
        <w:rPr>
          <w:rFonts w:cs="Times New Roman"/>
          <w:b/>
          <w:bCs/>
          <w:sz w:val="20"/>
        </w:rPr>
      </w:pPr>
    </w:p>
    <w:p w14:paraId="3B0FDD5A" w14:textId="77777777" w:rsidR="00E958DE" w:rsidRPr="007A5EE1" w:rsidRDefault="00E958DE" w:rsidP="00E958DE">
      <w:pPr>
        <w:pStyle w:val="ListParagraph"/>
        <w:numPr>
          <w:ilvl w:val="1"/>
          <w:numId w:val="17"/>
        </w:numPr>
        <w:bidi w:val="0"/>
        <w:ind w:left="284" w:hanging="284"/>
        <w:rPr>
          <w:rFonts w:cs="Times New Roman"/>
          <w:b/>
          <w:bCs/>
          <w:sz w:val="20"/>
        </w:rPr>
      </w:pPr>
      <w:r w:rsidRPr="001D6E60">
        <w:rPr>
          <w:rFonts w:cs="Times New Roman"/>
          <w:b/>
          <w:bCs/>
          <w:sz w:val="20"/>
        </w:rPr>
        <w:t>Israeli Violations</w:t>
      </w:r>
      <w:r w:rsidRPr="001D6E60">
        <w:rPr>
          <w:rFonts w:cs="Times New Roman"/>
          <w:b/>
          <w:bCs/>
          <w:sz w:val="20"/>
          <w:rtl/>
        </w:rPr>
        <w:t xml:space="preserve"> </w:t>
      </w:r>
    </w:p>
    <w:p w14:paraId="6AABAA06" w14:textId="3DEB80F3" w:rsidR="00E958DE" w:rsidRPr="00927676" w:rsidRDefault="00E958DE" w:rsidP="0098516E">
      <w:pPr>
        <w:bidi w:val="0"/>
        <w:rPr>
          <w:rFonts w:cs="Times New Roman"/>
          <w:b/>
          <w:bCs/>
        </w:rPr>
      </w:pPr>
      <w:r w:rsidRPr="00927676">
        <w:rPr>
          <w:rFonts w:cs="Times New Roman"/>
          <w:b/>
          <w:bCs/>
        </w:rPr>
        <w:t xml:space="preserve">2.5.1 Israeli </w:t>
      </w:r>
      <w:r>
        <w:rPr>
          <w:rFonts w:cs="Times New Roman"/>
          <w:b/>
          <w:bCs/>
        </w:rPr>
        <w:t>A</w:t>
      </w:r>
      <w:r w:rsidRPr="00927676">
        <w:rPr>
          <w:rFonts w:cs="Times New Roman"/>
          <w:b/>
          <w:bCs/>
        </w:rPr>
        <w:t>ggression (time reference for all data in this section is from October 7</w:t>
      </w:r>
      <w:r w:rsidRPr="00927676">
        <w:rPr>
          <w:rFonts w:cs="Times New Roman"/>
          <w:b/>
          <w:bCs/>
          <w:vertAlign w:val="superscript"/>
        </w:rPr>
        <w:t>th</w:t>
      </w:r>
      <w:r w:rsidRPr="00927676">
        <w:rPr>
          <w:rFonts w:cs="Times New Roman"/>
          <w:b/>
          <w:bCs/>
        </w:rPr>
        <w:t>, 2023</w:t>
      </w:r>
      <w:r>
        <w:rPr>
          <w:rFonts w:cs="Times New Roman"/>
          <w:b/>
          <w:bCs/>
        </w:rPr>
        <w:t>,</w:t>
      </w:r>
      <w:r w:rsidRPr="00927676">
        <w:rPr>
          <w:rFonts w:cs="Times New Roman"/>
          <w:b/>
          <w:bCs/>
        </w:rPr>
        <w:t xml:space="preserve"> to December </w:t>
      </w:r>
      <w:r w:rsidR="0098516E">
        <w:rPr>
          <w:rFonts w:cs="Times New Roman" w:hint="cs"/>
          <w:b/>
          <w:bCs/>
          <w:rtl/>
        </w:rPr>
        <w:t>23</w:t>
      </w:r>
      <w:r w:rsidRPr="00927676">
        <w:rPr>
          <w:rFonts w:cs="Times New Roman"/>
          <w:b/>
          <w:bCs/>
          <w:vertAlign w:val="superscript"/>
        </w:rPr>
        <w:t>th</w:t>
      </w:r>
      <w:r w:rsidRPr="00927676">
        <w:rPr>
          <w:rFonts w:cs="Times New Roman"/>
          <w:b/>
          <w:bCs/>
        </w:rPr>
        <w:t xml:space="preserve">, </w:t>
      </w:r>
      <w:r w:rsidR="0098516E">
        <w:rPr>
          <w:rFonts w:cs="Times New Roman" w:hint="cs"/>
          <w:b/>
          <w:bCs/>
          <w:rtl/>
        </w:rPr>
        <w:t>2025</w:t>
      </w:r>
      <w:r w:rsidRPr="00927676">
        <w:rPr>
          <w:rFonts w:cs="Times New Roman"/>
          <w:b/>
          <w:bCs/>
        </w:rPr>
        <w:t>)</w:t>
      </w:r>
    </w:p>
    <w:p w14:paraId="56A68A56" w14:textId="2B4384F1" w:rsidR="00E958DE" w:rsidRPr="00927676" w:rsidRDefault="00E958DE" w:rsidP="00E17C5A">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The total number of martyrs in Palestine reached </w:t>
      </w:r>
      <w:r w:rsidR="00C75870" w:rsidRPr="00C75870">
        <w:rPr>
          <w:rFonts w:asciiTheme="majorBidi" w:hAnsiTheme="majorBidi" w:cstheme="majorBidi"/>
          <w:sz w:val="19"/>
          <w:szCs w:val="19"/>
        </w:rPr>
        <w:t>72,038</w:t>
      </w:r>
      <w:r w:rsidRPr="00927676">
        <w:rPr>
          <w:rFonts w:asciiTheme="majorBidi" w:hAnsiTheme="majorBidi" w:cstheme="majorBidi"/>
          <w:sz w:val="19"/>
          <w:szCs w:val="19"/>
        </w:rPr>
        <w:t xml:space="preserve">. The total number of martyrs in Gaza Strip was </w:t>
      </w:r>
      <w:r w:rsidR="00E17C5A" w:rsidRPr="00E17C5A">
        <w:rPr>
          <w:rFonts w:asciiTheme="majorBidi" w:hAnsiTheme="majorBidi" w:cstheme="majorBidi"/>
          <w:sz w:val="19"/>
          <w:szCs w:val="19"/>
        </w:rPr>
        <w:t>70,937</w:t>
      </w:r>
      <w:r w:rsidR="00E17C5A">
        <w:rPr>
          <w:rFonts w:asciiTheme="majorBidi" w:hAnsiTheme="majorBidi" w:cstheme="majorBidi"/>
          <w:sz w:val="19"/>
          <w:szCs w:val="19"/>
        </w:rPr>
        <w:t>, a</w:t>
      </w:r>
      <w:r w:rsidRPr="00927676">
        <w:rPr>
          <w:rFonts w:asciiTheme="majorBidi" w:hAnsiTheme="majorBidi" w:cstheme="majorBidi"/>
          <w:sz w:val="19"/>
          <w:szCs w:val="19"/>
        </w:rPr>
        <w:t xml:space="preserve">lso, the total number of martyrs in the West Bank was </w:t>
      </w:r>
      <w:r w:rsidR="00E17C5A" w:rsidRPr="00E17C5A">
        <w:rPr>
          <w:rFonts w:asciiTheme="majorBidi" w:hAnsiTheme="majorBidi" w:cstheme="majorBidi"/>
          <w:sz w:val="19"/>
          <w:szCs w:val="19"/>
        </w:rPr>
        <w:t>1,101</w:t>
      </w:r>
      <w:r w:rsidRPr="00927676">
        <w:rPr>
          <w:rFonts w:asciiTheme="majorBidi" w:hAnsiTheme="majorBidi" w:cstheme="majorBidi"/>
          <w:sz w:val="19"/>
          <w:szCs w:val="19"/>
        </w:rPr>
        <w:t>.</w:t>
      </w:r>
    </w:p>
    <w:p w14:paraId="4E15DD22" w14:textId="69796D65" w:rsidR="00E958DE" w:rsidRPr="00927676" w:rsidRDefault="00E958DE" w:rsidP="00E17C5A">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The total number of detainees </w:t>
      </w:r>
      <w:r>
        <w:rPr>
          <w:rFonts w:asciiTheme="majorBidi" w:hAnsiTheme="majorBidi" w:cstheme="majorBidi"/>
          <w:sz w:val="19"/>
          <w:szCs w:val="19"/>
        </w:rPr>
        <w:t>from</w:t>
      </w:r>
      <w:r w:rsidRPr="00927676">
        <w:rPr>
          <w:rFonts w:asciiTheme="majorBidi" w:hAnsiTheme="majorBidi" w:cstheme="majorBidi"/>
          <w:sz w:val="19"/>
          <w:szCs w:val="19"/>
        </w:rPr>
        <w:t xml:space="preserve"> Palestine reached </w:t>
      </w:r>
      <w:r w:rsidR="00E17C5A" w:rsidRPr="00E17C5A">
        <w:rPr>
          <w:rFonts w:asciiTheme="majorBidi" w:hAnsiTheme="majorBidi" w:cstheme="majorBidi"/>
          <w:sz w:val="19"/>
          <w:szCs w:val="19"/>
        </w:rPr>
        <w:t>25,993</w:t>
      </w:r>
      <w:r w:rsidRPr="00927676">
        <w:rPr>
          <w:rFonts w:asciiTheme="majorBidi" w:hAnsiTheme="majorBidi" w:cstheme="majorBidi"/>
          <w:sz w:val="19"/>
          <w:szCs w:val="19"/>
        </w:rPr>
        <w:t xml:space="preserve"> </w:t>
      </w:r>
      <w:r>
        <w:rPr>
          <w:rFonts w:asciiTheme="majorBidi" w:hAnsiTheme="majorBidi" w:cstheme="majorBidi"/>
          <w:sz w:val="19"/>
          <w:szCs w:val="19"/>
        </w:rPr>
        <w:t>(</w:t>
      </w:r>
      <w:r w:rsidR="00E17C5A" w:rsidRPr="00E17C5A">
        <w:rPr>
          <w:rFonts w:asciiTheme="majorBidi" w:hAnsiTheme="majorBidi" w:cstheme="majorBidi"/>
          <w:sz w:val="19"/>
          <w:szCs w:val="19"/>
        </w:rPr>
        <w:t>19,360</w:t>
      </w:r>
      <w:r w:rsidR="00E17C5A">
        <w:rPr>
          <w:rFonts w:asciiTheme="majorBidi" w:hAnsiTheme="majorBidi" w:cstheme="majorBidi"/>
          <w:sz w:val="19"/>
          <w:szCs w:val="19"/>
        </w:rPr>
        <w:t xml:space="preserve"> </w:t>
      </w:r>
      <w:r>
        <w:rPr>
          <w:rFonts w:asciiTheme="majorBidi" w:hAnsiTheme="majorBidi" w:cstheme="majorBidi"/>
          <w:sz w:val="19"/>
          <w:szCs w:val="19"/>
        </w:rPr>
        <w:t>from</w:t>
      </w:r>
      <w:r w:rsidRPr="00927676">
        <w:rPr>
          <w:rFonts w:asciiTheme="majorBidi" w:hAnsiTheme="majorBidi" w:cstheme="majorBidi"/>
          <w:sz w:val="19"/>
          <w:szCs w:val="19"/>
        </w:rPr>
        <w:t xml:space="preserve"> the West Bank and </w:t>
      </w:r>
      <w:r w:rsidR="00E17C5A" w:rsidRPr="00E17C5A">
        <w:rPr>
          <w:rFonts w:asciiTheme="majorBidi" w:hAnsiTheme="majorBidi" w:cstheme="majorBidi"/>
          <w:sz w:val="19"/>
          <w:szCs w:val="19"/>
        </w:rPr>
        <w:t>6,633</w:t>
      </w:r>
      <w:r w:rsidR="00E17C5A">
        <w:rPr>
          <w:rFonts w:asciiTheme="majorBidi" w:hAnsiTheme="majorBidi" w:cstheme="majorBidi"/>
          <w:sz w:val="19"/>
          <w:szCs w:val="19"/>
        </w:rPr>
        <w:t xml:space="preserve"> </w:t>
      </w:r>
      <w:r>
        <w:rPr>
          <w:rFonts w:asciiTheme="majorBidi" w:hAnsiTheme="majorBidi" w:cstheme="majorBidi"/>
          <w:sz w:val="19"/>
          <w:szCs w:val="19"/>
        </w:rPr>
        <w:t>from</w:t>
      </w:r>
      <w:r w:rsidRPr="00927676">
        <w:rPr>
          <w:rFonts w:asciiTheme="majorBidi" w:hAnsiTheme="majorBidi" w:cstheme="majorBidi"/>
          <w:sz w:val="19"/>
          <w:szCs w:val="19"/>
        </w:rPr>
        <w:t xml:space="preserve"> Gaza Strip</w:t>
      </w:r>
      <w:r>
        <w:rPr>
          <w:rFonts w:asciiTheme="majorBidi" w:hAnsiTheme="majorBidi" w:cstheme="majorBidi"/>
          <w:sz w:val="19"/>
          <w:szCs w:val="19"/>
        </w:rPr>
        <w:t>)</w:t>
      </w:r>
      <w:r w:rsidRPr="00927676">
        <w:rPr>
          <w:rFonts w:asciiTheme="majorBidi" w:hAnsiTheme="majorBidi" w:cstheme="majorBidi"/>
          <w:sz w:val="19"/>
          <w:szCs w:val="19"/>
        </w:rPr>
        <w:t>.</w:t>
      </w:r>
    </w:p>
    <w:p w14:paraId="37D13DAA" w14:textId="30EA7742" w:rsidR="00E958DE" w:rsidRPr="00E24D21" w:rsidRDefault="00E958DE" w:rsidP="00E17C5A">
      <w:pPr>
        <w:pStyle w:val="ListParagraph"/>
        <w:numPr>
          <w:ilvl w:val="0"/>
          <w:numId w:val="3"/>
        </w:numPr>
        <w:bidi w:val="0"/>
        <w:ind w:left="284" w:hanging="284"/>
        <w:contextualSpacing/>
        <w:jc w:val="both"/>
        <w:rPr>
          <w:rFonts w:asciiTheme="majorBidi" w:hAnsiTheme="majorBidi" w:cstheme="majorBidi"/>
          <w:sz w:val="19"/>
          <w:szCs w:val="19"/>
        </w:rPr>
      </w:pPr>
      <w:r w:rsidRPr="00E24D21">
        <w:rPr>
          <w:rFonts w:asciiTheme="majorBidi" w:hAnsiTheme="majorBidi" w:cstheme="majorBidi"/>
          <w:sz w:val="19"/>
          <w:szCs w:val="19"/>
        </w:rPr>
        <w:t xml:space="preserve">According to a report by the UNOSAT Center for Satellite Image Analysis as of </w:t>
      </w:r>
      <w:r w:rsidR="00E17C5A">
        <w:rPr>
          <w:rFonts w:asciiTheme="majorBidi" w:hAnsiTheme="majorBidi" w:cstheme="majorBidi"/>
          <w:sz w:val="19"/>
          <w:szCs w:val="19"/>
        </w:rPr>
        <w:t>06/07/2025</w:t>
      </w:r>
      <w:r w:rsidRPr="00E24D21">
        <w:rPr>
          <w:rFonts w:asciiTheme="majorBidi" w:hAnsiTheme="majorBidi" w:cstheme="majorBidi"/>
          <w:sz w:val="19"/>
          <w:szCs w:val="19"/>
        </w:rPr>
        <w:t xml:space="preserve">, Gaza Strip has experienced massive destruction across various sectors. A total of </w:t>
      </w:r>
      <w:r w:rsidR="00E17C5A" w:rsidRPr="00E17C5A">
        <w:rPr>
          <w:rFonts w:asciiTheme="majorBidi" w:hAnsiTheme="majorBidi" w:cstheme="majorBidi"/>
          <w:sz w:val="19"/>
          <w:szCs w:val="19"/>
        </w:rPr>
        <w:t>102,067</w:t>
      </w:r>
      <w:r w:rsidRPr="00E24D21">
        <w:rPr>
          <w:rFonts w:asciiTheme="majorBidi" w:hAnsiTheme="majorBidi" w:cstheme="majorBidi"/>
          <w:sz w:val="19"/>
          <w:szCs w:val="19"/>
        </w:rPr>
        <w:t xml:space="preserve"> buil</w:t>
      </w:r>
      <w:r w:rsidR="00E17C5A">
        <w:rPr>
          <w:rFonts w:asciiTheme="majorBidi" w:hAnsiTheme="majorBidi" w:cstheme="majorBidi"/>
          <w:sz w:val="19"/>
          <w:szCs w:val="19"/>
        </w:rPr>
        <w:t>dings were completely destroyed</w:t>
      </w:r>
      <w:r w:rsidRPr="00E24D21">
        <w:rPr>
          <w:rFonts w:asciiTheme="majorBidi" w:hAnsiTheme="majorBidi" w:cstheme="majorBidi"/>
          <w:sz w:val="19"/>
          <w:szCs w:val="19"/>
        </w:rPr>
        <w:t xml:space="preserve">. Approximately </w:t>
      </w:r>
      <w:r w:rsidR="00E17C5A" w:rsidRPr="00E17C5A">
        <w:rPr>
          <w:rFonts w:asciiTheme="majorBidi" w:hAnsiTheme="majorBidi" w:cstheme="majorBidi"/>
          <w:sz w:val="19"/>
          <w:szCs w:val="19"/>
        </w:rPr>
        <w:t>330,500</w:t>
      </w:r>
      <w:r w:rsidR="00E17C5A">
        <w:rPr>
          <w:rFonts w:asciiTheme="majorBidi" w:hAnsiTheme="majorBidi" w:cstheme="majorBidi"/>
          <w:sz w:val="19"/>
          <w:szCs w:val="19"/>
        </w:rPr>
        <w:t xml:space="preserve"> </w:t>
      </w:r>
      <w:r w:rsidRPr="00E24D21">
        <w:rPr>
          <w:rFonts w:asciiTheme="majorBidi" w:hAnsiTheme="majorBidi" w:cstheme="majorBidi"/>
          <w:sz w:val="19"/>
          <w:szCs w:val="19"/>
        </w:rPr>
        <w:t>housing units were directly affected. As of December 9</w:t>
      </w:r>
      <w:r w:rsidRPr="00E17C5A">
        <w:rPr>
          <w:rFonts w:asciiTheme="majorBidi" w:hAnsiTheme="majorBidi" w:cstheme="majorBidi"/>
          <w:sz w:val="19"/>
          <w:szCs w:val="19"/>
          <w:vertAlign w:val="superscript"/>
        </w:rPr>
        <w:t>th</w:t>
      </w:r>
      <w:r w:rsidRPr="00E24D21">
        <w:rPr>
          <w:rFonts w:asciiTheme="majorBidi" w:hAnsiTheme="majorBidi" w:cstheme="majorBidi"/>
          <w:sz w:val="19"/>
          <w:szCs w:val="19"/>
        </w:rPr>
        <w:t xml:space="preserve">, </w:t>
      </w:r>
      <w:r w:rsidR="00E17C5A">
        <w:rPr>
          <w:rFonts w:asciiTheme="majorBidi" w:hAnsiTheme="majorBidi" w:cstheme="majorBidi"/>
          <w:sz w:val="19"/>
          <w:szCs w:val="19"/>
        </w:rPr>
        <w:t>2025</w:t>
      </w:r>
      <w:r w:rsidRPr="00E24D21">
        <w:rPr>
          <w:rFonts w:asciiTheme="majorBidi" w:hAnsiTheme="majorBidi" w:cstheme="majorBidi"/>
          <w:sz w:val="19"/>
          <w:szCs w:val="19"/>
        </w:rPr>
        <w:t>, 3</w:t>
      </w:r>
      <w:r w:rsidR="00E17C5A">
        <w:rPr>
          <w:rFonts w:asciiTheme="majorBidi" w:hAnsiTheme="majorBidi" w:cstheme="majorBidi"/>
          <w:sz w:val="19"/>
          <w:szCs w:val="19"/>
        </w:rPr>
        <w:t>1</w:t>
      </w:r>
      <w:r w:rsidRPr="00E24D21">
        <w:rPr>
          <w:rFonts w:asciiTheme="majorBidi" w:hAnsiTheme="majorBidi" w:cstheme="majorBidi"/>
          <w:sz w:val="19"/>
          <w:szCs w:val="19"/>
        </w:rPr>
        <w:t xml:space="preserve"> hospitals were completely out of service, while 8</w:t>
      </w:r>
      <w:r w:rsidR="00E17C5A">
        <w:rPr>
          <w:rFonts w:asciiTheme="majorBidi" w:hAnsiTheme="majorBidi" w:cstheme="majorBidi"/>
          <w:sz w:val="19"/>
          <w:szCs w:val="19"/>
        </w:rPr>
        <w:t>28</w:t>
      </w:r>
      <w:r w:rsidRPr="00E24D21">
        <w:rPr>
          <w:rFonts w:asciiTheme="majorBidi" w:hAnsiTheme="majorBidi" w:cstheme="majorBidi"/>
          <w:sz w:val="19"/>
          <w:szCs w:val="19"/>
        </w:rPr>
        <w:t xml:space="preserve"> mosques and 3 churches were destroyed. Additionally, 2</w:t>
      </w:r>
      <w:r w:rsidR="00E17C5A">
        <w:rPr>
          <w:rFonts w:asciiTheme="majorBidi" w:hAnsiTheme="majorBidi" w:cstheme="majorBidi"/>
          <w:sz w:val="19"/>
          <w:szCs w:val="19"/>
        </w:rPr>
        <w:t>25</w:t>
      </w:r>
      <w:r w:rsidRPr="00E24D21">
        <w:rPr>
          <w:rFonts w:asciiTheme="majorBidi" w:hAnsiTheme="majorBidi" w:cstheme="majorBidi"/>
          <w:sz w:val="19"/>
          <w:szCs w:val="19"/>
        </w:rPr>
        <w:t xml:space="preserve"> public buildings were destroyed.</w:t>
      </w:r>
    </w:p>
    <w:p w14:paraId="7771D9BC" w14:textId="4B271988" w:rsidR="00E958DE" w:rsidRPr="00E24D21" w:rsidRDefault="00E958DE" w:rsidP="00E17C5A">
      <w:pPr>
        <w:pStyle w:val="ListParagraph"/>
        <w:numPr>
          <w:ilvl w:val="0"/>
          <w:numId w:val="3"/>
        </w:numPr>
        <w:bidi w:val="0"/>
        <w:ind w:left="284" w:hanging="284"/>
        <w:contextualSpacing/>
        <w:jc w:val="both"/>
        <w:rPr>
          <w:rFonts w:asciiTheme="majorBidi" w:hAnsiTheme="majorBidi" w:cstheme="majorBidi"/>
          <w:sz w:val="19"/>
          <w:szCs w:val="19"/>
        </w:rPr>
      </w:pPr>
      <w:r w:rsidRPr="00E24D21">
        <w:rPr>
          <w:rFonts w:asciiTheme="majorBidi" w:hAnsiTheme="majorBidi" w:cstheme="majorBidi"/>
          <w:sz w:val="19"/>
          <w:szCs w:val="19"/>
        </w:rPr>
        <w:t xml:space="preserve">As of December </w:t>
      </w:r>
      <w:r w:rsidR="00E17C5A">
        <w:rPr>
          <w:rFonts w:asciiTheme="majorBidi" w:hAnsiTheme="majorBidi" w:cstheme="majorBidi"/>
          <w:sz w:val="19"/>
          <w:szCs w:val="19"/>
        </w:rPr>
        <w:t>9</w:t>
      </w:r>
      <w:r w:rsidRPr="00E17C5A">
        <w:rPr>
          <w:rFonts w:asciiTheme="majorBidi" w:hAnsiTheme="majorBidi" w:cstheme="majorBidi"/>
          <w:sz w:val="19"/>
          <w:szCs w:val="19"/>
          <w:vertAlign w:val="superscript"/>
        </w:rPr>
        <w:t>th</w:t>
      </w:r>
      <w:r w:rsidRPr="00E24D21">
        <w:rPr>
          <w:rFonts w:asciiTheme="majorBidi" w:hAnsiTheme="majorBidi" w:cstheme="majorBidi"/>
          <w:sz w:val="19"/>
          <w:szCs w:val="19"/>
        </w:rPr>
        <w:t xml:space="preserve">, </w:t>
      </w:r>
      <w:r w:rsidR="00E17C5A">
        <w:rPr>
          <w:rFonts w:asciiTheme="majorBidi" w:hAnsiTheme="majorBidi" w:cstheme="majorBidi"/>
          <w:sz w:val="19"/>
          <w:szCs w:val="19"/>
        </w:rPr>
        <w:t>2025</w:t>
      </w:r>
      <w:r w:rsidRPr="00E24D21">
        <w:rPr>
          <w:rFonts w:asciiTheme="majorBidi" w:hAnsiTheme="majorBidi" w:cstheme="majorBidi"/>
          <w:sz w:val="19"/>
          <w:szCs w:val="19"/>
        </w:rPr>
        <w:t xml:space="preserve">, the education sector in Palestine has faced severe violations by the </w:t>
      </w:r>
      <w:r>
        <w:rPr>
          <w:rFonts w:asciiTheme="majorBidi" w:hAnsiTheme="majorBidi" w:cstheme="majorBidi"/>
          <w:sz w:val="19"/>
          <w:szCs w:val="19"/>
        </w:rPr>
        <w:t xml:space="preserve">Israeli </w:t>
      </w:r>
      <w:r w:rsidRPr="00E24D21">
        <w:rPr>
          <w:rFonts w:asciiTheme="majorBidi" w:hAnsiTheme="majorBidi" w:cstheme="majorBidi"/>
          <w:sz w:val="19"/>
          <w:szCs w:val="19"/>
        </w:rPr>
        <w:t xml:space="preserve">occupation, including targeting students and educational institutions in both the West Bank and Gaza Strip. In the West Bank, more than </w:t>
      </w:r>
      <w:r w:rsidR="00E17C5A">
        <w:rPr>
          <w:rFonts w:asciiTheme="majorBidi" w:hAnsiTheme="majorBidi" w:cstheme="majorBidi"/>
          <w:sz w:val="19"/>
          <w:szCs w:val="19"/>
        </w:rPr>
        <w:t>116</w:t>
      </w:r>
      <w:r w:rsidRPr="00E24D21">
        <w:rPr>
          <w:rFonts w:asciiTheme="majorBidi" w:hAnsiTheme="majorBidi" w:cstheme="majorBidi"/>
          <w:sz w:val="19"/>
          <w:szCs w:val="19"/>
        </w:rPr>
        <w:t xml:space="preserve"> students were martyred, while in Gaza Strip, the number of martyred students exceeded </w:t>
      </w:r>
      <w:r w:rsidR="00E17C5A" w:rsidRPr="00E17C5A">
        <w:rPr>
          <w:rFonts w:asciiTheme="majorBidi" w:hAnsiTheme="majorBidi" w:cstheme="majorBidi"/>
          <w:sz w:val="19"/>
          <w:szCs w:val="19"/>
        </w:rPr>
        <w:t>18,863</w:t>
      </w:r>
      <w:r w:rsidRPr="00E24D21">
        <w:rPr>
          <w:rFonts w:asciiTheme="majorBidi" w:hAnsiTheme="majorBidi" w:cstheme="majorBidi"/>
          <w:sz w:val="19"/>
          <w:szCs w:val="19"/>
        </w:rPr>
        <w:t>.</w:t>
      </w:r>
    </w:p>
    <w:p w14:paraId="65BB0265" w14:textId="61043416" w:rsidR="00E958DE" w:rsidRPr="00E24D21" w:rsidRDefault="00E958DE" w:rsidP="00E17C5A">
      <w:pPr>
        <w:pStyle w:val="ListParagraph"/>
        <w:numPr>
          <w:ilvl w:val="0"/>
          <w:numId w:val="3"/>
        </w:numPr>
        <w:bidi w:val="0"/>
        <w:ind w:left="284" w:hanging="284"/>
        <w:contextualSpacing/>
        <w:jc w:val="both"/>
        <w:rPr>
          <w:rFonts w:asciiTheme="majorBidi" w:hAnsiTheme="majorBidi" w:cstheme="majorBidi"/>
          <w:sz w:val="19"/>
          <w:szCs w:val="19"/>
        </w:rPr>
      </w:pPr>
      <w:r w:rsidRPr="00E24D21">
        <w:rPr>
          <w:rFonts w:asciiTheme="majorBidi" w:hAnsiTheme="majorBidi" w:cstheme="majorBidi"/>
          <w:sz w:val="19"/>
          <w:szCs w:val="19"/>
        </w:rPr>
        <w:t xml:space="preserve">Schools and universities in both the West Bank and Gaza Strip have faced widespread violations and attacks by the Israeli occupation. In the West Bank, </w:t>
      </w:r>
      <w:r w:rsidR="00E17C5A">
        <w:rPr>
          <w:rFonts w:asciiTheme="majorBidi" w:hAnsiTheme="majorBidi" w:cstheme="majorBidi"/>
          <w:sz w:val="19"/>
          <w:szCs w:val="19"/>
        </w:rPr>
        <w:t>152</w:t>
      </w:r>
      <w:r w:rsidRPr="00E24D21">
        <w:rPr>
          <w:rFonts w:asciiTheme="majorBidi" w:hAnsiTheme="majorBidi" w:cstheme="majorBidi"/>
          <w:sz w:val="19"/>
          <w:szCs w:val="19"/>
        </w:rPr>
        <w:t xml:space="preserve"> schools and </w:t>
      </w:r>
      <w:r w:rsidR="00E17C5A">
        <w:rPr>
          <w:rFonts w:asciiTheme="majorBidi" w:hAnsiTheme="majorBidi" w:cstheme="majorBidi"/>
          <w:sz w:val="19"/>
          <w:szCs w:val="19"/>
        </w:rPr>
        <w:t>8</w:t>
      </w:r>
      <w:r w:rsidRPr="00E24D21">
        <w:rPr>
          <w:rFonts w:asciiTheme="majorBidi" w:hAnsiTheme="majorBidi" w:cstheme="majorBidi"/>
          <w:sz w:val="19"/>
          <w:szCs w:val="19"/>
        </w:rPr>
        <w:t xml:space="preserve"> universities were targeted, with many educational institutions subjected to vandalism and repeated incursions. In Gaza Strip, </w:t>
      </w:r>
      <w:r w:rsidR="00E17C5A">
        <w:rPr>
          <w:rFonts w:asciiTheme="majorBidi" w:hAnsiTheme="majorBidi" w:cstheme="majorBidi"/>
          <w:sz w:val="19"/>
          <w:szCs w:val="19"/>
        </w:rPr>
        <w:t>179</w:t>
      </w:r>
      <w:r w:rsidRPr="00E24D21">
        <w:rPr>
          <w:rFonts w:asciiTheme="majorBidi" w:hAnsiTheme="majorBidi" w:cstheme="majorBidi"/>
          <w:sz w:val="19"/>
          <w:szCs w:val="19"/>
        </w:rPr>
        <w:t xml:space="preserve"> public schools were completely destroyed, along with </w:t>
      </w:r>
      <w:r w:rsidR="00E17C5A">
        <w:rPr>
          <w:rFonts w:asciiTheme="majorBidi" w:hAnsiTheme="majorBidi" w:cstheme="majorBidi"/>
          <w:sz w:val="19"/>
          <w:szCs w:val="19"/>
        </w:rPr>
        <w:t>100</w:t>
      </w:r>
      <w:r w:rsidRPr="00E24D21">
        <w:rPr>
          <w:rFonts w:asciiTheme="majorBidi" w:hAnsiTheme="majorBidi" w:cstheme="majorBidi"/>
          <w:sz w:val="19"/>
          <w:szCs w:val="19"/>
        </w:rPr>
        <w:t xml:space="preserve"> UNRWA schools affected by bombing and vandalism. Higher education institutions were also targeted, with 20 institutions suffering significant damage, including the complete destruction of </w:t>
      </w:r>
      <w:r w:rsidR="00E17C5A">
        <w:rPr>
          <w:rFonts w:asciiTheme="majorBidi" w:hAnsiTheme="majorBidi" w:cstheme="majorBidi"/>
          <w:sz w:val="19"/>
          <w:szCs w:val="19"/>
        </w:rPr>
        <w:t>63</w:t>
      </w:r>
      <w:r w:rsidRPr="00E24D21">
        <w:rPr>
          <w:rFonts w:asciiTheme="majorBidi" w:hAnsiTheme="majorBidi" w:cstheme="majorBidi"/>
          <w:sz w:val="19"/>
          <w:szCs w:val="19"/>
        </w:rPr>
        <w:t xml:space="preserve"> university buildings, in addition to looting their contents. These violations </w:t>
      </w:r>
      <w:r w:rsidRPr="00E24D21">
        <w:rPr>
          <w:rFonts w:asciiTheme="majorBidi" w:hAnsiTheme="majorBidi" w:cstheme="majorBidi"/>
          <w:sz w:val="19"/>
          <w:szCs w:val="19"/>
        </w:rPr>
        <w:lastRenderedPageBreak/>
        <w:t>reflect a systematic targeting of educational institutions, exacerbating the educational crisis in Palestine and threatening the future of the coming generations.</w:t>
      </w:r>
    </w:p>
    <w:p w14:paraId="26D5286C" w14:textId="77777777" w:rsidR="00E958DE" w:rsidRPr="00927676" w:rsidRDefault="00E958DE" w:rsidP="00E958DE">
      <w:pPr>
        <w:pStyle w:val="ListParagraph"/>
        <w:bidi w:val="0"/>
        <w:ind w:left="284"/>
        <w:contextualSpacing/>
        <w:jc w:val="both"/>
        <w:rPr>
          <w:rFonts w:asciiTheme="majorBidi" w:hAnsiTheme="majorBidi" w:cstheme="majorBidi"/>
          <w:sz w:val="19"/>
          <w:szCs w:val="19"/>
        </w:rPr>
      </w:pPr>
    </w:p>
    <w:p w14:paraId="5A7C8BAD" w14:textId="77777777" w:rsidR="00E958DE" w:rsidRPr="00927676" w:rsidRDefault="00E958DE" w:rsidP="00E958DE">
      <w:pPr>
        <w:bidi w:val="0"/>
        <w:rPr>
          <w:rFonts w:cs="Times New Roman"/>
          <w:b/>
          <w:bCs/>
          <w:rtl/>
        </w:rPr>
      </w:pPr>
      <w:r w:rsidRPr="00927676">
        <w:rPr>
          <w:rFonts w:cs="Times New Roman"/>
          <w:b/>
          <w:bCs/>
        </w:rPr>
        <w:t>2.5.2 Settlements</w:t>
      </w:r>
    </w:p>
    <w:p w14:paraId="770760E2"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There were 151 settlements in the West Bank by the end of 2023</w:t>
      </w:r>
      <w:r>
        <w:rPr>
          <w:rFonts w:asciiTheme="majorBidi" w:hAnsiTheme="majorBidi" w:cstheme="majorBidi"/>
          <w:sz w:val="19"/>
          <w:szCs w:val="19"/>
        </w:rPr>
        <w:t>,</w:t>
      </w:r>
      <w:r w:rsidRPr="00927676">
        <w:rPr>
          <w:rFonts w:asciiTheme="majorBidi" w:hAnsiTheme="majorBidi" w:cstheme="majorBidi"/>
          <w:sz w:val="19"/>
          <w:szCs w:val="19"/>
        </w:rPr>
        <w:t xml:space="preserve"> of which 26 settlements were in Jerusalem Governorate</w:t>
      </w:r>
      <w:r>
        <w:rPr>
          <w:rFonts w:asciiTheme="majorBidi" w:hAnsiTheme="majorBidi" w:cstheme="majorBidi"/>
          <w:sz w:val="19"/>
          <w:szCs w:val="19"/>
        </w:rPr>
        <w:t>,</w:t>
      </w:r>
      <w:r w:rsidRPr="00927676">
        <w:rPr>
          <w:rFonts w:asciiTheme="majorBidi" w:hAnsiTheme="majorBidi" w:cstheme="majorBidi"/>
          <w:sz w:val="19"/>
          <w:szCs w:val="19"/>
        </w:rPr>
        <w:t xml:space="preserve"> distributed as follows: 16 settlements in Jerusalem (J1), and 10 settlements in Jerusalem (J2). </w:t>
      </w:r>
    </w:p>
    <w:p w14:paraId="711CB3A9"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Data indicate that there were 770,420</w:t>
      </w:r>
      <w:r w:rsidRPr="00927676">
        <w:rPr>
          <w:rFonts w:asciiTheme="majorBidi" w:hAnsiTheme="majorBidi" w:cstheme="majorBidi"/>
          <w:sz w:val="19"/>
          <w:szCs w:val="19"/>
          <w:rtl/>
        </w:rPr>
        <w:t xml:space="preserve"> </w:t>
      </w:r>
      <w:r w:rsidRPr="00927676">
        <w:rPr>
          <w:rFonts w:asciiTheme="majorBidi" w:hAnsiTheme="majorBidi" w:cstheme="majorBidi"/>
          <w:sz w:val="19"/>
          <w:szCs w:val="19"/>
        </w:rPr>
        <w:t>settlers in the West Bank by the end of 2023. The majority of those settlers (336,304) live in Jerusalem Governorate. This figure comprises 240,516</w:t>
      </w:r>
      <w:r w:rsidRPr="00927676">
        <w:rPr>
          <w:rFonts w:asciiTheme="majorBidi" w:hAnsiTheme="majorBidi" w:cstheme="majorBidi"/>
          <w:sz w:val="19"/>
          <w:szCs w:val="19"/>
          <w:rtl/>
        </w:rPr>
        <w:t xml:space="preserve"> </w:t>
      </w:r>
      <w:r w:rsidRPr="00927676">
        <w:rPr>
          <w:rFonts w:asciiTheme="majorBidi" w:hAnsiTheme="majorBidi" w:cstheme="majorBidi"/>
          <w:sz w:val="19"/>
          <w:szCs w:val="19"/>
        </w:rPr>
        <w:t xml:space="preserve">settlers within Jerusalem Governorate (J1). </w:t>
      </w:r>
    </w:p>
    <w:p w14:paraId="75255A72" w14:textId="77777777" w:rsidR="00E958DE" w:rsidRPr="00927676" w:rsidRDefault="00E958DE" w:rsidP="00E958DE">
      <w:pPr>
        <w:pStyle w:val="ListParagraph"/>
        <w:bidi w:val="0"/>
        <w:ind w:left="284"/>
        <w:contextualSpacing/>
        <w:jc w:val="both"/>
        <w:rPr>
          <w:rFonts w:asciiTheme="majorBidi" w:hAnsiTheme="majorBidi" w:cstheme="majorBidi"/>
          <w:sz w:val="19"/>
          <w:szCs w:val="19"/>
        </w:rPr>
      </w:pPr>
    </w:p>
    <w:p w14:paraId="350BB197" w14:textId="3C736445" w:rsidR="00E958DE" w:rsidRPr="00927676" w:rsidRDefault="00E958DE" w:rsidP="00E958DE">
      <w:pPr>
        <w:jc w:val="right"/>
        <w:rPr>
          <w:rFonts w:cs="Times New Roman"/>
          <w:b/>
          <w:bCs/>
        </w:rPr>
      </w:pPr>
      <w:r w:rsidRPr="00927676">
        <w:rPr>
          <w:rFonts w:cs="Times New Roman"/>
          <w:b/>
          <w:bCs/>
        </w:rPr>
        <w:t>3.  Economic Statistics</w:t>
      </w:r>
    </w:p>
    <w:p w14:paraId="1CA8B02B" w14:textId="77777777" w:rsidR="00E958DE" w:rsidRPr="00927676" w:rsidRDefault="00E958DE" w:rsidP="00E958DE">
      <w:pPr>
        <w:pStyle w:val="ListParagraph"/>
        <w:numPr>
          <w:ilvl w:val="1"/>
          <w:numId w:val="18"/>
        </w:numPr>
        <w:bidi w:val="0"/>
        <w:ind w:left="266" w:hanging="277"/>
        <w:rPr>
          <w:rFonts w:cs="Times New Roman"/>
          <w:b/>
          <w:bCs/>
          <w:sz w:val="20"/>
        </w:rPr>
      </w:pPr>
      <w:r w:rsidRPr="00927676">
        <w:rPr>
          <w:rFonts w:cs="Times New Roman"/>
          <w:b/>
          <w:bCs/>
          <w:sz w:val="20"/>
        </w:rPr>
        <w:t>Real Sector</w:t>
      </w:r>
      <w:r w:rsidRPr="00927676">
        <w:rPr>
          <w:rFonts w:cs="Times New Roman"/>
          <w:b/>
          <w:bCs/>
          <w:sz w:val="20"/>
          <w:rtl/>
        </w:rPr>
        <w:t xml:space="preserve"> </w:t>
      </w:r>
    </w:p>
    <w:p w14:paraId="0E7B31F3" w14:textId="77777777" w:rsidR="00E958DE" w:rsidRPr="00927676" w:rsidRDefault="00E958DE" w:rsidP="00E958DE">
      <w:pPr>
        <w:pStyle w:val="Title"/>
        <w:tabs>
          <w:tab w:val="right" w:pos="308"/>
        </w:tabs>
        <w:jc w:val="left"/>
        <w:rPr>
          <w:sz w:val="20"/>
          <w:szCs w:val="20"/>
        </w:rPr>
      </w:pPr>
      <w:r w:rsidRPr="00927676">
        <w:rPr>
          <w:sz w:val="20"/>
          <w:szCs w:val="20"/>
        </w:rPr>
        <w:t>3. 1.1 National Accounts</w:t>
      </w:r>
    </w:p>
    <w:p w14:paraId="2737DFF7" w14:textId="77777777" w:rsidR="00E958DE" w:rsidRPr="00927676" w:rsidRDefault="00E958DE" w:rsidP="00E958DE">
      <w:pPr>
        <w:bidi w:val="0"/>
        <w:ind w:left="284" w:hanging="284"/>
        <w:rPr>
          <w:rFonts w:cs="Times New Roman"/>
          <w:b/>
          <w:bCs/>
          <w:rtl/>
          <w:lang w:eastAsia="ar-SA"/>
        </w:rPr>
      </w:pPr>
      <w:r w:rsidRPr="00927676">
        <w:rPr>
          <w:rFonts w:cs="Times New Roman"/>
          <w:b/>
          <w:bCs/>
          <w:lang w:eastAsia="ar-SA"/>
        </w:rPr>
        <w:t>Gross Domestic Product:</w:t>
      </w:r>
    </w:p>
    <w:p w14:paraId="2597D269"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GDP for Palestine at constant prices was USD 10,960 million </w:t>
      </w:r>
      <w:r>
        <w:rPr>
          <w:rFonts w:asciiTheme="majorBidi" w:hAnsiTheme="majorBidi" w:cstheme="majorBidi"/>
          <w:sz w:val="19"/>
          <w:szCs w:val="19"/>
        </w:rPr>
        <w:t>in</w:t>
      </w:r>
      <w:r w:rsidRPr="00927676">
        <w:rPr>
          <w:rFonts w:asciiTheme="majorBidi" w:hAnsiTheme="majorBidi" w:cstheme="majorBidi"/>
          <w:sz w:val="19"/>
          <w:szCs w:val="19"/>
        </w:rPr>
        <w:t xml:space="preserve"> 2024, </w:t>
      </w:r>
      <w:r>
        <w:rPr>
          <w:rFonts w:asciiTheme="majorBidi" w:hAnsiTheme="majorBidi" w:cstheme="majorBidi"/>
          <w:sz w:val="19"/>
          <w:szCs w:val="19"/>
        </w:rPr>
        <w:t xml:space="preserve">where </w:t>
      </w:r>
      <w:r w:rsidRPr="00927676">
        <w:rPr>
          <w:rFonts w:asciiTheme="majorBidi" w:hAnsiTheme="majorBidi" w:cstheme="majorBidi"/>
          <w:sz w:val="19"/>
          <w:szCs w:val="19"/>
        </w:rPr>
        <w:t>it showed a decrease of 27% compared to 2023.</w:t>
      </w:r>
    </w:p>
    <w:p w14:paraId="4C6FCB27" w14:textId="77777777" w:rsidR="00E958DE" w:rsidRPr="00927676" w:rsidRDefault="00E958DE" w:rsidP="00E958DE">
      <w:pPr>
        <w:bidi w:val="0"/>
        <w:ind w:left="284" w:hanging="284"/>
        <w:rPr>
          <w:rFonts w:cs="Times New Roman"/>
          <w:sz w:val="16"/>
          <w:szCs w:val="16"/>
          <w:rtl/>
          <w:lang w:eastAsia="ar-SA"/>
        </w:rPr>
      </w:pPr>
    </w:p>
    <w:p w14:paraId="77D17C2B" w14:textId="77777777" w:rsidR="00E958DE" w:rsidRPr="00927676" w:rsidRDefault="00E958DE" w:rsidP="00E958DE">
      <w:pPr>
        <w:bidi w:val="0"/>
        <w:ind w:left="284" w:hanging="284"/>
        <w:rPr>
          <w:rFonts w:cs="Times New Roman"/>
          <w:b/>
          <w:bCs/>
          <w:rtl/>
          <w:lang w:eastAsia="ar-SA"/>
        </w:rPr>
      </w:pPr>
      <w:r w:rsidRPr="00927676">
        <w:rPr>
          <w:rFonts w:cs="Times New Roman"/>
          <w:b/>
          <w:bCs/>
          <w:lang w:eastAsia="ar-SA"/>
        </w:rPr>
        <w:t>Gross Domestic Product Per Capita:</w:t>
      </w:r>
    </w:p>
    <w:p w14:paraId="3A957821" w14:textId="0E6656B0" w:rsidR="00E958DE"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GDP per Capita for Palestine at constant prices was USD 2,087 </w:t>
      </w:r>
      <w:r>
        <w:rPr>
          <w:rFonts w:asciiTheme="majorBidi" w:hAnsiTheme="majorBidi" w:cstheme="majorBidi"/>
          <w:sz w:val="19"/>
          <w:szCs w:val="19"/>
        </w:rPr>
        <w:t>in</w:t>
      </w:r>
      <w:r w:rsidRPr="00927676">
        <w:rPr>
          <w:rFonts w:asciiTheme="majorBidi" w:hAnsiTheme="majorBidi" w:cstheme="majorBidi"/>
          <w:sz w:val="19"/>
          <w:szCs w:val="19"/>
        </w:rPr>
        <w:t xml:space="preserve"> 2024, </w:t>
      </w:r>
      <w:r>
        <w:rPr>
          <w:rFonts w:asciiTheme="majorBidi" w:hAnsiTheme="majorBidi" w:cstheme="majorBidi"/>
          <w:sz w:val="19"/>
          <w:szCs w:val="19"/>
        </w:rPr>
        <w:t xml:space="preserve">where </w:t>
      </w:r>
      <w:r w:rsidRPr="00927676">
        <w:rPr>
          <w:rFonts w:asciiTheme="majorBidi" w:hAnsiTheme="majorBidi" w:cstheme="majorBidi"/>
          <w:sz w:val="19"/>
          <w:szCs w:val="19"/>
        </w:rPr>
        <w:t>it showed a decrease of 28% compared to 2023.</w:t>
      </w:r>
    </w:p>
    <w:p w14:paraId="0718443B" w14:textId="77777777" w:rsidR="00E958DE" w:rsidRPr="00927676" w:rsidRDefault="00E958DE" w:rsidP="00E958DE">
      <w:pPr>
        <w:pStyle w:val="ListParagraph"/>
        <w:bidi w:val="0"/>
        <w:ind w:left="284"/>
        <w:contextualSpacing/>
        <w:jc w:val="both"/>
        <w:rPr>
          <w:rFonts w:asciiTheme="majorBidi" w:hAnsiTheme="majorBidi" w:cstheme="majorBidi"/>
          <w:sz w:val="19"/>
          <w:szCs w:val="19"/>
        </w:rPr>
      </w:pPr>
    </w:p>
    <w:p w14:paraId="132E633B" w14:textId="77777777" w:rsidR="00E958DE" w:rsidRPr="00927676" w:rsidRDefault="00E958DE" w:rsidP="00E958DE">
      <w:pPr>
        <w:pStyle w:val="Title"/>
        <w:tabs>
          <w:tab w:val="right" w:pos="308"/>
        </w:tabs>
        <w:ind w:left="284" w:hanging="284"/>
        <w:jc w:val="left"/>
        <w:rPr>
          <w:sz w:val="20"/>
          <w:szCs w:val="20"/>
        </w:rPr>
      </w:pPr>
      <w:r w:rsidRPr="00927676">
        <w:rPr>
          <w:sz w:val="20"/>
          <w:szCs w:val="20"/>
        </w:rPr>
        <w:t>3.2.1  Prices and Price Indices</w:t>
      </w:r>
    </w:p>
    <w:p w14:paraId="75A18EB8" w14:textId="77777777" w:rsidR="00E958DE" w:rsidRPr="00927676" w:rsidRDefault="00E958DE" w:rsidP="00E958DE">
      <w:pPr>
        <w:pStyle w:val="Title"/>
        <w:tabs>
          <w:tab w:val="right" w:pos="308"/>
        </w:tabs>
        <w:ind w:left="284" w:hanging="284"/>
        <w:jc w:val="left"/>
        <w:rPr>
          <w:sz w:val="20"/>
          <w:szCs w:val="20"/>
        </w:rPr>
      </w:pPr>
      <w:r w:rsidRPr="00927676">
        <w:rPr>
          <w:sz w:val="20"/>
          <w:szCs w:val="20"/>
        </w:rPr>
        <w:t xml:space="preserve">Consumer Price Index: </w:t>
      </w:r>
    </w:p>
    <w:p w14:paraId="51ED2333"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sz w:val="19"/>
          <w:szCs w:val="19"/>
        </w:rPr>
        <w:t xml:space="preserve">The overall CPI for Palestine during 2024 recorded a sharp increase by 53.67% compared </w:t>
      </w:r>
      <w:r>
        <w:rPr>
          <w:sz w:val="19"/>
          <w:szCs w:val="19"/>
        </w:rPr>
        <w:t>to</w:t>
      </w:r>
      <w:r w:rsidRPr="00927676">
        <w:rPr>
          <w:sz w:val="19"/>
          <w:szCs w:val="19"/>
        </w:rPr>
        <w:t xml:space="preserve"> 2023 (237.98% in Gaza Strip, 3.84% in Jerusalem J1*, and 2.48% in the West Bank**).</w:t>
      </w:r>
      <w:r w:rsidRPr="00927676">
        <w:rPr>
          <w:rFonts w:asciiTheme="majorBidi" w:hAnsiTheme="majorBidi" w:cstheme="majorBidi"/>
          <w:sz w:val="19"/>
          <w:szCs w:val="19"/>
        </w:rPr>
        <w:t xml:space="preserve"> </w:t>
      </w:r>
    </w:p>
    <w:p w14:paraId="1DE71E54" w14:textId="77777777" w:rsidR="003D7D83" w:rsidRPr="00B343CC" w:rsidRDefault="003D7D83" w:rsidP="003D7D83">
      <w:pPr>
        <w:pStyle w:val="Default"/>
        <w:ind w:left="284"/>
        <w:jc w:val="both"/>
        <w:rPr>
          <w:rFonts w:cs="Times New Roman"/>
          <w:b/>
          <w:bCs/>
          <w:color w:val="auto"/>
          <w:rtl/>
        </w:rPr>
      </w:pPr>
      <w:r w:rsidRPr="00B343CC">
        <w:rPr>
          <w:rFonts w:ascii="Times New Roman" w:eastAsia="Times New Roman" w:hAnsi="Times New Roman" w:cs="Times New Roman"/>
          <w:color w:val="auto"/>
          <w:sz w:val="16"/>
          <w:szCs w:val="16"/>
          <w:lang w:eastAsia="ar-SA"/>
        </w:rPr>
        <w:t xml:space="preserve"> </w:t>
      </w:r>
    </w:p>
    <w:p w14:paraId="46833097" w14:textId="77777777" w:rsidR="003D7D83" w:rsidRPr="00B343CC" w:rsidRDefault="003D7D83" w:rsidP="003D7D83">
      <w:pPr>
        <w:bidi w:val="0"/>
        <w:jc w:val="center"/>
        <w:rPr>
          <w:rFonts w:cs="Times New Roman"/>
          <w:b/>
          <w:bCs/>
        </w:rPr>
      </w:pPr>
      <w:r w:rsidRPr="00B343CC">
        <w:rPr>
          <w:rFonts w:cs="Times New Roman"/>
          <w:b/>
          <w:bCs/>
        </w:rPr>
        <w:t>Yearly Percentage Changes in Consumer Price Index in Palestine for: 2010–2024</w:t>
      </w:r>
    </w:p>
    <w:p w14:paraId="31EBF3E9" w14:textId="77777777" w:rsidR="003D7D83" w:rsidRPr="00B343CC" w:rsidRDefault="003D7D83" w:rsidP="003D7D83">
      <w:pPr>
        <w:bidi w:val="0"/>
        <w:jc w:val="center"/>
        <w:rPr>
          <w:rFonts w:cs="Times New Roman"/>
          <w:sz w:val="8"/>
          <w:szCs w:val="8"/>
        </w:rPr>
      </w:pPr>
    </w:p>
    <w:p w14:paraId="43F9106E" w14:textId="77777777" w:rsidR="003D7D83" w:rsidRPr="00B343CC" w:rsidRDefault="003D7D83" w:rsidP="003D7D83">
      <w:pPr>
        <w:bidi w:val="0"/>
        <w:jc w:val="center"/>
        <w:rPr>
          <w:rFonts w:cs="Times New Roman"/>
          <w:rtl/>
        </w:rPr>
      </w:pPr>
      <w:r w:rsidRPr="00B343CC">
        <w:rPr>
          <w:rFonts w:ascii="Simplified Arabic" w:hAnsi="Simplified Arabic" w:cs="Simplified Arabic"/>
          <w:b/>
          <w:bCs/>
        </w:rPr>
        <w:drawing>
          <wp:inline distT="0" distB="0" distL="0" distR="0" wp14:anchorId="763855AB" wp14:editId="22D73458">
            <wp:extent cx="4680585" cy="2057400"/>
            <wp:effectExtent l="0" t="0" r="5715" b="0"/>
            <wp:docPr id="101" name="Chart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4F81D2F" w14:textId="77777777" w:rsidR="003D7D83" w:rsidRPr="00B343CC" w:rsidRDefault="003D7D83" w:rsidP="003D7D83">
      <w:pPr>
        <w:bidi w:val="0"/>
        <w:rPr>
          <w:rFonts w:cs="Times New Roman"/>
          <w:b/>
          <w:bCs/>
          <w:snapToGrid w:val="0"/>
        </w:rPr>
      </w:pPr>
    </w:p>
    <w:p w14:paraId="4C62C92D" w14:textId="77777777" w:rsidR="00E54CB8" w:rsidRDefault="00E54CB8" w:rsidP="003D7D83">
      <w:pPr>
        <w:bidi w:val="0"/>
        <w:jc w:val="center"/>
        <w:rPr>
          <w:rFonts w:cs="Times New Roman"/>
          <w:b/>
          <w:bCs/>
          <w:snapToGrid w:val="0"/>
        </w:rPr>
      </w:pPr>
    </w:p>
    <w:p w14:paraId="5D883BDA" w14:textId="77777777" w:rsidR="00E54CB8" w:rsidRDefault="00E54CB8" w:rsidP="00E54CB8">
      <w:pPr>
        <w:bidi w:val="0"/>
        <w:jc w:val="center"/>
        <w:rPr>
          <w:rFonts w:cs="Times New Roman"/>
          <w:b/>
          <w:bCs/>
          <w:snapToGrid w:val="0"/>
        </w:rPr>
      </w:pPr>
    </w:p>
    <w:p w14:paraId="099018D4" w14:textId="77777777" w:rsidR="00E54CB8" w:rsidRDefault="00E54CB8" w:rsidP="00E54CB8">
      <w:pPr>
        <w:bidi w:val="0"/>
        <w:jc w:val="center"/>
        <w:rPr>
          <w:rFonts w:cs="Times New Roman"/>
          <w:b/>
          <w:bCs/>
          <w:snapToGrid w:val="0"/>
        </w:rPr>
      </w:pPr>
    </w:p>
    <w:p w14:paraId="6AFADE0E" w14:textId="77777777" w:rsidR="00E54CB8" w:rsidRDefault="00E54CB8" w:rsidP="00E54CB8">
      <w:pPr>
        <w:bidi w:val="0"/>
        <w:jc w:val="center"/>
        <w:rPr>
          <w:rFonts w:cs="Times New Roman"/>
          <w:b/>
          <w:bCs/>
          <w:snapToGrid w:val="0"/>
        </w:rPr>
      </w:pPr>
    </w:p>
    <w:p w14:paraId="7B3E0517" w14:textId="77777777" w:rsidR="00E54CB8" w:rsidRDefault="00E54CB8" w:rsidP="00E54CB8">
      <w:pPr>
        <w:bidi w:val="0"/>
        <w:jc w:val="center"/>
        <w:rPr>
          <w:rFonts w:cs="Times New Roman"/>
          <w:b/>
          <w:bCs/>
          <w:snapToGrid w:val="0"/>
        </w:rPr>
      </w:pPr>
    </w:p>
    <w:p w14:paraId="05F76412" w14:textId="77777777" w:rsidR="00E54CB8" w:rsidRDefault="00E54CB8" w:rsidP="00E54CB8">
      <w:pPr>
        <w:bidi w:val="0"/>
        <w:jc w:val="center"/>
        <w:rPr>
          <w:rFonts w:cs="Times New Roman"/>
          <w:b/>
          <w:bCs/>
          <w:snapToGrid w:val="0"/>
        </w:rPr>
      </w:pPr>
    </w:p>
    <w:p w14:paraId="6A21712D" w14:textId="32B28725" w:rsidR="00656665" w:rsidRDefault="003D7D83" w:rsidP="00E54CB8">
      <w:pPr>
        <w:bidi w:val="0"/>
        <w:jc w:val="center"/>
        <w:rPr>
          <w:rFonts w:cs="Times New Roman"/>
          <w:b/>
          <w:bCs/>
          <w:snapToGrid w:val="0"/>
        </w:rPr>
      </w:pPr>
      <w:r w:rsidRPr="00B343CC">
        <w:rPr>
          <w:rFonts w:cs="Times New Roman"/>
          <w:b/>
          <w:bCs/>
          <w:snapToGrid w:val="0"/>
        </w:rPr>
        <w:lastRenderedPageBreak/>
        <w:t>Monthly Percentage Changes in Consumer Price Index in Palestine for the Months</w:t>
      </w:r>
    </w:p>
    <w:p w14:paraId="7D846A03" w14:textId="72B37877" w:rsidR="003D7D83" w:rsidRPr="00B343CC" w:rsidRDefault="003D7D83" w:rsidP="00656665">
      <w:pPr>
        <w:bidi w:val="0"/>
        <w:jc w:val="center"/>
        <w:rPr>
          <w:rFonts w:cs="Times New Roman"/>
          <w:b/>
          <w:bCs/>
          <w:snapToGrid w:val="0"/>
        </w:rPr>
      </w:pPr>
      <w:r w:rsidRPr="00B343CC">
        <w:rPr>
          <w:rFonts w:cs="Times New Roman"/>
          <w:b/>
          <w:bCs/>
          <w:snapToGrid w:val="0"/>
        </w:rPr>
        <w:t xml:space="preserve"> of 2024</w:t>
      </w:r>
    </w:p>
    <w:p w14:paraId="5BE40267" w14:textId="77777777" w:rsidR="003D7D83" w:rsidRPr="00B343CC" w:rsidRDefault="003D7D83" w:rsidP="003D7D83">
      <w:pPr>
        <w:bidi w:val="0"/>
        <w:rPr>
          <w:rFonts w:cs="Times New Roman"/>
          <w:b/>
          <w:bCs/>
          <w:snapToGrid w:val="0"/>
          <w:sz w:val="8"/>
          <w:szCs w:val="8"/>
        </w:rPr>
      </w:pPr>
    </w:p>
    <w:p w14:paraId="553D196F" w14:textId="77777777" w:rsidR="003D7D83" w:rsidRPr="00B343CC" w:rsidRDefault="003D7D83" w:rsidP="003D7D83">
      <w:pPr>
        <w:autoSpaceDE w:val="0"/>
        <w:autoSpaceDN w:val="0"/>
        <w:bidi w:val="0"/>
        <w:adjustRightInd w:val="0"/>
        <w:jc w:val="center"/>
        <w:rPr>
          <w:rFonts w:cs="Times New Roman"/>
          <w:b/>
          <w:bCs/>
          <w:snapToGrid w:val="0"/>
        </w:rPr>
      </w:pPr>
      <w:r w:rsidRPr="00B343CC">
        <w:rPr>
          <w:rFonts w:ascii="Arial" w:hAnsi="Arial" w:cs="Arial"/>
          <w:sz w:val="16"/>
          <w:szCs w:val="16"/>
        </w:rPr>
        <w:drawing>
          <wp:inline distT="0" distB="0" distL="0" distR="0" wp14:anchorId="075604E8" wp14:editId="4F1BE437">
            <wp:extent cx="4641850" cy="1819746"/>
            <wp:effectExtent l="0" t="0" r="6350" b="9525"/>
            <wp:docPr id="9" name="Char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405A65F" w14:textId="77777777" w:rsidR="003D7D83" w:rsidRPr="00B343CC" w:rsidRDefault="003D7D83" w:rsidP="003D7D83">
      <w:pPr>
        <w:autoSpaceDE w:val="0"/>
        <w:autoSpaceDN w:val="0"/>
        <w:bidi w:val="0"/>
        <w:adjustRightInd w:val="0"/>
        <w:jc w:val="center"/>
        <w:rPr>
          <w:rFonts w:cs="Times New Roman"/>
          <w:b/>
          <w:bCs/>
          <w:snapToGrid w:val="0"/>
        </w:rPr>
      </w:pPr>
    </w:p>
    <w:p w14:paraId="6A746544" w14:textId="77777777" w:rsidR="00E958DE" w:rsidRPr="00927676" w:rsidRDefault="00E958DE" w:rsidP="00E958DE">
      <w:pPr>
        <w:pStyle w:val="ListParagraph"/>
        <w:numPr>
          <w:ilvl w:val="0"/>
          <w:numId w:val="3"/>
        </w:numPr>
        <w:bidi w:val="0"/>
        <w:ind w:left="284" w:hanging="284"/>
        <w:contextualSpacing/>
        <w:jc w:val="both"/>
        <w:rPr>
          <w:sz w:val="19"/>
          <w:szCs w:val="19"/>
        </w:rPr>
      </w:pPr>
      <w:r w:rsidRPr="00927676">
        <w:rPr>
          <w:sz w:val="19"/>
          <w:szCs w:val="19"/>
        </w:rPr>
        <w:t xml:space="preserve">The continued Israeli aggression against Gaza Strip during 2024 had the most significant impact on the increase in the prices of consumer goods, where the CPI recorded a sharp increase by 53.67% in Palestine during 2024, which led to a decline in the purchasing power by 34.93%. Gaza Strip recorded the highest decline percentage in purchasing power, as it declined by 70.41%, while it declined by 3.7% in Jerusalem J1*, and by 2.42% in the West Bank**. Such </w:t>
      </w:r>
      <w:r>
        <w:rPr>
          <w:sz w:val="19"/>
          <w:szCs w:val="19"/>
        </w:rPr>
        <w:t xml:space="preserve">a </w:t>
      </w:r>
      <w:r w:rsidRPr="00927676">
        <w:rPr>
          <w:sz w:val="19"/>
          <w:szCs w:val="19"/>
        </w:rPr>
        <w:t xml:space="preserve">decline led to </w:t>
      </w:r>
      <w:r>
        <w:rPr>
          <w:sz w:val="19"/>
          <w:szCs w:val="19"/>
        </w:rPr>
        <w:t xml:space="preserve">an </w:t>
      </w:r>
      <w:r w:rsidRPr="00927676">
        <w:rPr>
          <w:sz w:val="19"/>
          <w:szCs w:val="19"/>
        </w:rPr>
        <w:t xml:space="preserve">increase in the burdens of Palestinian </w:t>
      </w:r>
      <w:r>
        <w:rPr>
          <w:sz w:val="19"/>
          <w:szCs w:val="19"/>
        </w:rPr>
        <w:t>households</w:t>
      </w:r>
      <w:r w:rsidRPr="00927676">
        <w:rPr>
          <w:sz w:val="19"/>
          <w:szCs w:val="19"/>
        </w:rPr>
        <w:t>, and their inability to meet the basic needs of goods and services, as a result of the unprecedented increase in prices levels witnessed in Gaza Strip markets. Yet, the West Bank markets ** were not spared from the negative impact of high prices levels, in light of the closures, invasions and dismemberment of major cities during 2024.</w:t>
      </w:r>
    </w:p>
    <w:p w14:paraId="428C97E9" w14:textId="77777777" w:rsidR="003D7D83" w:rsidRPr="00B343CC" w:rsidRDefault="003D7D83" w:rsidP="003D7D83">
      <w:pPr>
        <w:bidi w:val="0"/>
        <w:rPr>
          <w:rFonts w:cs="Times New Roman"/>
          <w:lang w:eastAsia="ar-SA"/>
        </w:rPr>
      </w:pPr>
    </w:p>
    <w:p w14:paraId="26AC8ACE" w14:textId="77777777" w:rsidR="003D7D83" w:rsidRPr="00B343CC" w:rsidRDefault="003D7D83" w:rsidP="003D7D83">
      <w:pPr>
        <w:bidi w:val="0"/>
        <w:spacing w:line="360" w:lineRule="auto"/>
        <w:jc w:val="lowKashida"/>
      </w:pPr>
      <w:r w:rsidRPr="00B343CC">
        <w:t>The changes in the Palestinian CPI for 2024</w:t>
      </w:r>
      <w:r w:rsidRPr="00B343CC">
        <w:rPr>
          <w:sz w:val="28"/>
          <w:szCs w:val="28"/>
        </w:rPr>
        <w:t xml:space="preserve"> </w:t>
      </w:r>
      <w:r w:rsidRPr="00B343CC">
        <w:t>were traced back to changes in prices of the following expenditure on major and sub groups compared with previous year:</w:t>
      </w:r>
    </w:p>
    <w:p w14:paraId="4455CD6A" w14:textId="77777777" w:rsidR="003D7D83" w:rsidRPr="00B343CC" w:rsidRDefault="003D7D83" w:rsidP="003D7D83">
      <w:pPr>
        <w:jc w:val="both"/>
        <w:rPr>
          <w:sz w:val="10"/>
          <w:szCs w:val="1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2"/>
        <w:gridCol w:w="1789"/>
      </w:tblGrid>
      <w:tr w:rsidR="00B343CC" w:rsidRPr="00656665" w14:paraId="4F853517" w14:textId="77777777" w:rsidTr="00B343CC">
        <w:trPr>
          <w:trHeight w:val="20"/>
          <w:tblHeader/>
          <w:jc w:val="center"/>
        </w:trPr>
        <w:tc>
          <w:tcPr>
            <w:tcW w:w="3785" w:type="pct"/>
            <w:tcBorders>
              <w:bottom w:val="single" w:sz="4" w:space="0" w:color="auto"/>
            </w:tcBorders>
            <w:vAlign w:val="center"/>
          </w:tcPr>
          <w:p w14:paraId="2AB62769" w14:textId="77777777" w:rsidR="003D7D83" w:rsidRPr="00656665" w:rsidRDefault="003D7D83" w:rsidP="009056A8">
            <w:pPr>
              <w:pStyle w:val="BodyText3"/>
              <w:jc w:val="center"/>
              <w:rPr>
                <w:rFonts w:asciiTheme="majorBidi" w:hAnsiTheme="majorBidi" w:cstheme="majorBidi"/>
                <w:sz w:val="16"/>
                <w:szCs w:val="16"/>
              </w:rPr>
            </w:pPr>
            <w:r w:rsidRPr="00656665">
              <w:rPr>
                <w:rFonts w:asciiTheme="majorBidi" w:hAnsiTheme="majorBidi" w:cstheme="majorBidi"/>
                <w:sz w:val="16"/>
                <w:szCs w:val="16"/>
              </w:rPr>
              <w:t>Major and Sub Groups</w:t>
            </w:r>
          </w:p>
        </w:tc>
        <w:tc>
          <w:tcPr>
            <w:tcW w:w="1215" w:type="pct"/>
            <w:tcBorders>
              <w:bottom w:val="single" w:sz="4" w:space="0" w:color="auto"/>
            </w:tcBorders>
            <w:vAlign w:val="center"/>
          </w:tcPr>
          <w:p w14:paraId="2912C10F" w14:textId="77777777" w:rsidR="003D7D83" w:rsidRPr="00656665" w:rsidRDefault="003D7D83" w:rsidP="009056A8">
            <w:pPr>
              <w:pStyle w:val="BodyText3"/>
              <w:jc w:val="center"/>
              <w:rPr>
                <w:rFonts w:asciiTheme="majorBidi" w:hAnsiTheme="majorBidi" w:cstheme="majorBidi"/>
                <w:sz w:val="16"/>
                <w:szCs w:val="16"/>
              </w:rPr>
            </w:pPr>
            <w:r w:rsidRPr="00656665">
              <w:rPr>
                <w:rFonts w:asciiTheme="majorBidi" w:hAnsiTheme="majorBidi" w:cstheme="majorBidi"/>
                <w:sz w:val="16"/>
                <w:szCs w:val="16"/>
              </w:rPr>
              <w:t>%Change</w:t>
            </w:r>
          </w:p>
        </w:tc>
      </w:tr>
      <w:tr w:rsidR="00B343CC" w:rsidRPr="00656665" w14:paraId="786A17CC" w14:textId="77777777" w:rsidTr="00B343CC">
        <w:trPr>
          <w:trHeight w:val="20"/>
          <w:jc w:val="center"/>
        </w:trPr>
        <w:tc>
          <w:tcPr>
            <w:tcW w:w="3785" w:type="pct"/>
            <w:tcBorders>
              <w:bottom w:val="nil"/>
            </w:tcBorders>
            <w:vAlign w:val="center"/>
          </w:tcPr>
          <w:p w14:paraId="445288A0" w14:textId="77777777" w:rsidR="003D7D83" w:rsidRPr="00656665" w:rsidRDefault="003D7D83" w:rsidP="009056A8">
            <w:pPr>
              <w:bidi w:val="0"/>
              <w:rPr>
                <w:rFonts w:asciiTheme="majorBidi" w:hAnsiTheme="majorBidi" w:cstheme="majorBidi"/>
                <w:b/>
                <w:bCs/>
                <w:sz w:val="16"/>
                <w:szCs w:val="16"/>
              </w:rPr>
            </w:pPr>
            <w:r w:rsidRPr="00656665">
              <w:rPr>
                <w:b/>
                <w:bCs/>
                <w:sz w:val="16"/>
                <w:szCs w:val="16"/>
              </w:rPr>
              <w:t>Food and Non-Alcoholic Beverages</w:t>
            </w:r>
          </w:p>
        </w:tc>
        <w:tc>
          <w:tcPr>
            <w:tcW w:w="1215" w:type="pct"/>
            <w:tcBorders>
              <w:bottom w:val="nil"/>
            </w:tcBorders>
            <w:vAlign w:val="center"/>
          </w:tcPr>
          <w:p w14:paraId="2D5030BA" w14:textId="77777777" w:rsidR="003D7D83" w:rsidRPr="00656665" w:rsidRDefault="003D7D83" w:rsidP="009056A8">
            <w:pPr>
              <w:tabs>
                <w:tab w:val="right" w:pos="338"/>
              </w:tabs>
              <w:jc w:val="center"/>
              <w:rPr>
                <w:rFonts w:asciiTheme="majorBidi" w:hAnsiTheme="majorBidi" w:cstheme="majorBidi"/>
                <w:b/>
                <w:bCs/>
                <w:sz w:val="16"/>
                <w:szCs w:val="16"/>
                <w:rtl/>
              </w:rPr>
            </w:pPr>
            <w:r w:rsidRPr="00656665">
              <w:rPr>
                <w:b/>
                <w:bCs/>
                <w:sz w:val="16"/>
                <w:szCs w:val="16"/>
              </w:rPr>
              <w:t>+ 59.05%</w:t>
            </w:r>
          </w:p>
        </w:tc>
      </w:tr>
      <w:tr w:rsidR="00B343CC" w:rsidRPr="00656665" w14:paraId="271A52E0" w14:textId="77777777" w:rsidTr="00B343CC">
        <w:trPr>
          <w:trHeight w:val="20"/>
          <w:jc w:val="center"/>
        </w:trPr>
        <w:tc>
          <w:tcPr>
            <w:tcW w:w="3785" w:type="pct"/>
            <w:tcBorders>
              <w:top w:val="nil"/>
              <w:bottom w:val="nil"/>
            </w:tcBorders>
            <w:vAlign w:val="center"/>
          </w:tcPr>
          <w:p w14:paraId="191FF136" w14:textId="77777777" w:rsidR="003D7D83" w:rsidRPr="00656665" w:rsidRDefault="003D7D83" w:rsidP="009056A8">
            <w:pPr>
              <w:jc w:val="right"/>
              <w:rPr>
                <w:rFonts w:asciiTheme="majorBidi" w:hAnsiTheme="majorBidi" w:cstheme="majorBidi"/>
                <w:sz w:val="16"/>
                <w:szCs w:val="16"/>
              </w:rPr>
            </w:pPr>
            <w:r w:rsidRPr="00656665">
              <w:rPr>
                <w:sz w:val="16"/>
                <w:szCs w:val="16"/>
              </w:rPr>
              <w:t>Dried Vegetables</w:t>
            </w:r>
          </w:p>
        </w:tc>
        <w:tc>
          <w:tcPr>
            <w:tcW w:w="1215" w:type="pct"/>
            <w:tcBorders>
              <w:top w:val="nil"/>
              <w:bottom w:val="nil"/>
            </w:tcBorders>
            <w:vAlign w:val="center"/>
          </w:tcPr>
          <w:p w14:paraId="79756115" w14:textId="77777777" w:rsidR="003D7D83" w:rsidRPr="00656665" w:rsidRDefault="003D7D83" w:rsidP="009056A8">
            <w:pPr>
              <w:tabs>
                <w:tab w:val="right" w:pos="338"/>
              </w:tabs>
              <w:jc w:val="center"/>
              <w:rPr>
                <w:rFonts w:asciiTheme="majorBidi" w:hAnsiTheme="majorBidi" w:cstheme="majorBidi"/>
                <w:sz w:val="16"/>
                <w:szCs w:val="16"/>
                <w:rtl/>
              </w:rPr>
            </w:pPr>
            <w:r w:rsidRPr="00656665">
              <w:rPr>
                <w:sz w:val="16"/>
                <w:szCs w:val="16"/>
              </w:rPr>
              <w:t>+ 369.24%</w:t>
            </w:r>
          </w:p>
        </w:tc>
      </w:tr>
      <w:tr w:rsidR="00B343CC" w:rsidRPr="00656665" w14:paraId="4684AA5A" w14:textId="77777777" w:rsidTr="00B343CC">
        <w:trPr>
          <w:trHeight w:val="20"/>
          <w:jc w:val="center"/>
        </w:trPr>
        <w:tc>
          <w:tcPr>
            <w:tcW w:w="3785" w:type="pct"/>
            <w:tcBorders>
              <w:top w:val="nil"/>
              <w:bottom w:val="nil"/>
            </w:tcBorders>
            <w:vAlign w:val="center"/>
          </w:tcPr>
          <w:p w14:paraId="37EA12BF" w14:textId="77777777" w:rsidR="003D7D83" w:rsidRPr="00656665" w:rsidRDefault="003D7D83" w:rsidP="009056A8">
            <w:pPr>
              <w:jc w:val="right"/>
              <w:rPr>
                <w:rFonts w:asciiTheme="majorBidi" w:hAnsiTheme="majorBidi" w:cstheme="majorBidi"/>
                <w:sz w:val="16"/>
                <w:szCs w:val="16"/>
              </w:rPr>
            </w:pPr>
            <w:r w:rsidRPr="00656665">
              <w:rPr>
                <w:sz w:val="16"/>
                <w:szCs w:val="16"/>
              </w:rPr>
              <w:t>Potatoes and Other Tubers</w:t>
            </w:r>
          </w:p>
        </w:tc>
        <w:tc>
          <w:tcPr>
            <w:tcW w:w="1215" w:type="pct"/>
            <w:tcBorders>
              <w:top w:val="nil"/>
              <w:bottom w:val="nil"/>
            </w:tcBorders>
            <w:vAlign w:val="center"/>
          </w:tcPr>
          <w:p w14:paraId="29DE0C25" w14:textId="77777777" w:rsidR="003D7D83" w:rsidRPr="00656665" w:rsidRDefault="003D7D83" w:rsidP="009056A8">
            <w:pPr>
              <w:tabs>
                <w:tab w:val="right" w:pos="338"/>
              </w:tabs>
              <w:jc w:val="center"/>
              <w:rPr>
                <w:rFonts w:asciiTheme="majorBidi" w:hAnsiTheme="majorBidi" w:cstheme="majorBidi"/>
                <w:sz w:val="16"/>
                <w:szCs w:val="16"/>
              </w:rPr>
            </w:pPr>
            <w:r w:rsidRPr="00656665">
              <w:rPr>
                <w:sz w:val="16"/>
                <w:szCs w:val="16"/>
              </w:rPr>
              <w:t>+ 224.61%</w:t>
            </w:r>
          </w:p>
        </w:tc>
      </w:tr>
      <w:tr w:rsidR="00B343CC" w:rsidRPr="00656665" w14:paraId="2AE563F6" w14:textId="77777777" w:rsidTr="00B343CC">
        <w:trPr>
          <w:trHeight w:val="20"/>
          <w:jc w:val="center"/>
        </w:trPr>
        <w:tc>
          <w:tcPr>
            <w:tcW w:w="3785" w:type="pct"/>
            <w:tcBorders>
              <w:top w:val="nil"/>
              <w:bottom w:val="nil"/>
            </w:tcBorders>
            <w:vAlign w:val="center"/>
          </w:tcPr>
          <w:p w14:paraId="6A882066" w14:textId="77777777" w:rsidR="003D7D83" w:rsidRPr="00656665" w:rsidRDefault="003D7D83" w:rsidP="009056A8">
            <w:pPr>
              <w:jc w:val="right"/>
              <w:rPr>
                <w:rFonts w:asciiTheme="majorBidi" w:hAnsiTheme="majorBidi" w:cstheme="majorBidi"/>
                <w:sz w:val="16"/>
                <w:szCs w:val="16"/>
                <w:rtl/>
              </w:rPr>
            </w:pPr>
            <w:r w:rsidRPr="00656665">
              <w:rPr>
                <w:sz w:val="16"/>
                <w:szCs w:val="16"/>
              </w:rPr>
              <w:t>Other Sugar and Sugar Substitutes</w:t>
            </w:r>
          </w:p>
        </w:tc>
        <w:tc>
          <w:tcPr>
            <w:tcW w:w="1215" w:type="pct"/>
            <w:tcBorders>
              <w:top w:val="nil"/>
              <w:bottom w:val="nil"/>
            </w:tcBorders>
            <w:vAlign w:val="center"/>
          </w:tcPr>
          <w:p w14:paraId="034FE3DE" w14:textId="77777777" w:rsidR="003D7D83" w:rsidRPr="00656665" w:rsidRDefault="003D7D83" w:rsidP="009056A8">
            <w:pPr>
              <w:tabs>
                <w:tab w:val="right" w:pos="338"/>
              </w:tabs>
              <w:jc w:val="center"/>
              <w:rPr>
                <w:rFonts w:asciiTheme="majorBidi" w:hAnsiTheme="majorBidi" w:cstheme="majorBidi"/>
                <w:sz w:val="16"/>
                <w:szCs w:val="16"/>
                <w:rtl/>
              </w:rPr>
            </w:pPr>
            <w:r w:rsidRPr="00656665">
              <w:rPr>
                <w:sz w:val="16"/>
                <w:szCs w:val="16"/>
              </w:rPr>
              <w:t>+ 219.39%</w:t>
            </w:r>
          </w:p>
        </w:tc>
      </w:tr>
      <w:tr w:rsidR="00B343CC" w:rsidRPr="00656665" w14:paraId="1AE13150" w14:textId="77777777" w:rsidTr="00B343CC">
        <w:trPr>
          <w:trHeight w:val="20"/>
          <w:jc w:val="center"/>
        </w:trPr>
        <w:tc>
          <w:tcPr>
            <w:tcW w:w="3785" w:type="pct"/>
            <w:tcBorders>
              <w:top w:val="nil"/>
              <w:bottom w:val="nil"/>
            </w:tcBorders>
            <w:vAlign w:val="center"/>
          </w:tcPr>
          <w:p w14:paraId="3D38A392" w14:textId="77777777" w:rsidR="003D7D83" w:rsidRPr="00656665" w:rsidRDefault="003D7D83" w:rsidP="009056A8">
            <w:pPr>
              <w:bidi w:val="0"/>
              <w:rPr>
                <w:rFonts w:asciiTheme="majorBidi" w:hAnsiTheme="majorBidi" w:cstheme="majorBidi"/>
                <w:sz w:val="16"/>
                <w:szCs w:val="16"/>
              </w:rPr>
            </w:pPr>
            <w:r w:rsidRPr="00656665">
              <w:rPr>
                <w:sz w:val="16"/>
                <w:szCs w:val="16"/>
              </w:rPr>
              <w:t>Eggs</w:t>
            </w:r>
          </w:p>
        </w:tc>
        <w:tc>
          <w:tcPr>
            <w:tcW w:w="1215" w:type="pct"/>
            <w:tcBorders>
              <w:top w:val="nil"/>
              <w:bottom w:val="nil"/>
            </w:tcBorders>
            <w:vAlign w:val="center"/>
          </w:tcPr>
          <w:p w14:paraId="40E7E24B" w14:textId="77777777" w:rsidR="003D7D83" w:rsidRPr="00656665" w:rsidRDefault="003D7D83" w:rsidP="009056A8">
            <w:pPr>
              <w:tabs>
                <w:tab w:val="right" w:pos="338"/>
              </w:tabs>
              <w:jc w:val="center"/>
              <w:rPr>
                <w:rFonts w:asciiTheme="majorBidi" w:hAnsiTheme="majorBidi" w:cstheme="majorBidi"/>
                <w:b/>
                <w:bCs/>
                <w:sz w:val="16"/>
                <w:szCs w:val="16"/>
              </w:rPr>
            </w:pPr>
            <w:r w:rsidRPr="00656665">
              <w:rPr>
                <w:sz w:val="16"/>
                <w:szCs w:val="16"/>
              </w:rPr>
              <w:t>+ 157.59%</w:t>
            </w:r>
          </w:p>
        </w:tc>
      </w:tr>
      <w:tr w:rsidR="00B343CC" w:rsidRPr="00656665" w14:paraId="51F351A3" w14:textId="77777777" w:rsidTr="00B343CC">
        <w:trPr>
          <w:trHeight w:val="20"/>
          <w:jc w:val="center"/>
        </w:trPr>
        <w:tc>
          <w:tcPr>
            <w:tcW w:w="3785" w:type="pct"/>
            <w:tcBorders>
              <w:top w:val="nil"/>
              <w:bottom w:val="nil"/>
            </w:tcBorders>
            <w:vAlign w:val="center"/>
          </w:tcPr>
          <w:p w14:paraId="4C2D8A47" w14:textId="77777777" w:rsidR="003D7D83" w:rsidRPr="00656665" w:rsidRDefault="003D7D83" w:rsidP="009056A8">
            <w:pPr>
              <w:bidi w:val="0"/>
              <w:rPr>
                <w:rFonts w:asciiTheme="majorBidi" w:hAnsiTheme="majorBidi" w:cstheme="majorBidi"/>
                <w:sz w:val="16"/>
                <w:szCs w:val="16"/>
              </w:rPr>
            </w:pPr>
            <w:r w:rsidRPr="00656665">
              <w:rPr>
                <w:sz w:val="16"/>
                <w:szCs w:val="16"/>
              </w:rPr>
              <w:t>Fresh Vegetables</w:t>
            </w:r>
          </w:p>
        </w:tc>
        <w:tc>
          <w:tcPr>
            <w:tcW w:w="1215" w:type="pct"/>
            <w:tcBorders>
              <w:top w:val="nil"/>
              <w:bottom w:val="nil"/>
            </w:tcBorders>
            <w:vAlign w:val="center"/>
          </w:tcPr>
          <w:p w14:paraId="0A1E92D3" w14:textId="77777777" w:rsidR="003D7D83" w:rsidRPr="00656665" w:rsidRDefault="003D7D83" w:rsidP="009056A8">
            <w:pPr>
              <w:tabs>
                <w:tab w:val="right" w:pos="338"/>
              </w:tabs>
              <w:jc w:val="center"/>
              <w:rPr>
                <w:rFonts w:asciiTheme="majorBidi" w:hAnsiTheme="majorBidi" w:cstheme="majorBidi"/>
                <w:b/>
                <w:bCs/>
                <w:sz w:val="16"/>
                <w:szCs w:val="16"/>
              </w:rPr>
            </w:pPr>
            <w:r w:rsidRPr="00656665">
              <w:rPr>
                <w:sz w:val="16"/>
                <w:szCs w:val="16"/>
              </w:rPr>
              <w:t>+ 109.60%</w:t>
            </w:r>
          </w:p>
        </w:tc>
      </w:tr>
      <w:tr w:rsidR="00B343CC" w:rsidRPr="00656665" w14:paraId="3D5EF3EF" w14:textId="77777777" w:rsidTr="00B343CC">
        <w:trPr>
          <w:trHeight w:val="20"/>
          <w:jc w:val="center"/>
        </w:trPr>
        <w:tc>
          <w:tcPr>
            <w:tcW w:w="3785" w:type="pct"/>
            <w:tcBorders>
              <w:top w:val="nil"/>
              <w:bottom w:val="nil"/>
            </w:tcBorders>
            <w:vAlign w:val="center"/>
          </w:tcPr>
          <w:p w14:paraId="7E8FC1C3" w14:textId="77777777" w:rsidR="003D7D83" w:rsidRPr="00656665" w:rsidRDefault="003D7D83" w:rsidP="009056A8">
            <w:pPr>
              <w:jc w:val="right"/>
              <w:rPr>
                <w:rFonts w:asciiTheme="majorBidi" w:hAnsiTheme="majorBidi" w:cstheme="majorBidi"/>
                <w:sz w:val="16"/>
                <w:szCs w:val="16"/>
              </w:rPr>
            </w:pPr>
            <w:r w:rsidRPr="00656665">
              <w:rPr>
                <w:sz w:val="16"/>
                <w:szCs w:val="16"/>
              </w:rPr>
              <w:t>White Flour</w:t>
            </w:r>
          </w:p>
        </w:tc>
        <w:tc>
          <w:tcPr>
            <w:tcW w:w="1215" w:type="pct"/>
            <w:tcBorders>
              <w:top w:val="nil"/>
              <w:bottom w:val="nil"/>
            </w:tcBorders>
            <w:vAlign w:val="center"/>
          </w:tcPr>
          <w:p w14:paraId="6C095717" w14:textId="77777777" w:rsidR="003D7D83" w:rsidRPr="00656665" w:rsidRDefault="003D7D83" w:rsidP="009056A8">
            <w:pPr>
              <w:tabs>
                <w:tab w:val="right" w:pos="338"/>
              </w:tabs>
              <w:jc w:val="center"/>
              <w:rPr>
                <w:rFonts w:asciiTheme="majorBidi" w:hAnsiTheme="majorBidi" w:cstheme="majorBidi"/>
                <w:sz w:val="16"/>
                <w:szCs w:val="16"/>
              </w:rPr>
            </w:pPr>
            <w:r w:rsidRPr="00656665">
              <w:rPr>
                <w:sz w:val="16"/>
                <w:szCs w:val="16"/>
              </w:rPr>
              <w:t>+ 103.44%</w:t>
            </w:r>
          </w:p>
        </w:tc>
      </w:tr>
      <w:tr w:rsidR="00B343CC" w:rsidRPr="00656665" w14:paraId="32D07BF0" w14:textId="77777777" w:rsidTr="00B343CC">
        <w:trPr>
          <w:trHeight w:val="20"/>
          <w:jc w:val="center"/>
        </w:trPr>
        <w:tc>
          <w:tcPr>
            <w:tcW w:w="3785" w:type="pct"/>
            <w:tcBorders>
              <w:top w:val="nil"/>
              <w:bottom w:val="nil"/>
            </w:tcBorders>
            <w:vAlign w:val="center"/>
          </w:tcPr>
          <w:p w14:paraId="7EC0E4EC" w14:textId="77777777" w:rsidR="003D7D83" w:rsidRPr="00656665" w:rsidRDefault="003D7D83" w:rsidP="009056A8">
            <w:pPr>
              <w:jc w:val="right"/>
              <w:rPr>
                <w:rFonts w:asciiTheme="majorBidi" w:hAnsiTheme="majorBidi" w:cstheme="majorBidi"/>
                <w:sz w:val="16"/>
                <w:szCs w:val="16"/>
              </w:rPr>
            </w:pPr>
            <w:r w:rsidRPr="00656665">
              <w:rPr>
                <w:sz w:val="16"/>
                <w:szCs w:val="16"/>
              </w:rPr>
              <w:t>Fresh Fruit</w:t>
            </w:r>
          </w:p>
        </w:tc>
        <w:tc>
          <w:tcPr>
            <w:tcW w:w="1215" w:type="pct"/>
            <w:tcBorders>
              <w:top w:val="nil"/>
              <w:bottom w:val="nil"/>
            </w:tcBorders>
            <w:vAlign w:val="center"/>
          </w:tcPr>
          <w:p w14:paraId="491B2E6A" w14:textId="77777777" w:rsidR="003D7D83" w:rsidRPr="00656665" w:rsidRDefault="003D7D83" w:rsidP="009056A8">
            <w:pPr>
              <w:tabs>
                <w:tab w:val="right" w:pos="338"/>
              </w:tabs>
              <w:jc w:val="center"/>
              <w:rPr>
                <w:rFonts w:asciiTheme="majorBidi" w:hAnsiTheme="majorBidi" w:cstheme="majorBidi"/>
                <w:sz w:val="16"/>
                <w:szCs w:val="16"/>
              </w:rPr>
            </w:pPr>
            <w:r w:rsidRPr="00656665">
              <w:rPr>
                <w:sz w:val="16"/>
                <w:szCs w:val="16"/>
              </w:rPr>
              <w:t>+ 100.52%</w:t>
            </w:r>
          </w:p>
        </w:tc>
      </w:tr>
      <w:tr w:rsidR="00B343CC" w:rsidRPr="00656665" w14:paraId="3F18194C" w14:textId="77777777" w:rsidTr="00B343CC">
        <w:trPr>
          <w:trHeight w:val="20"/>
          <w:jc w:val="center"/>
        </w:trPr>
        <w:tc>
          <w:tcPr>
            <w:tcW w:w="3785" w:type="pct"/>
            <w:tcBorders>
              <w:top w:val="nil"/>
              <w:bottom w:val="nil"/>
            </w:tcBorders>
          </w:tcPr>
          <w:p w14:paraId="032F8174" w14:textId="77777777" w:rsidR="003D7D83" w:rsidRPr="00656665" w:rsidRDefault="003D7D83" w:rsidP="009056A8">
            <w:pPr>
              <w:bidi w:val="0"/>
              <w:rPr>
                <w:rFonts w:asciiTheme="majorBidi" w:hAnsiTheme="majorBidi" w:cstheme="majorBidi"/>
                <w:sz w:val="16"/>
                <w:szCs w:val="16"/>
              </w:rPr>
            </w:pPr>
            <w:r w:rsidRPr="00656665">
              <w:rPr>
                <w:sz w:val="16"/>
                <w:szCs w:val="16"/>
              </w:rPr>
              <w:t>Fresh Chicken</w:t>
            </w:r>
          </w:p>
        </w:tc>
        <w:tc>
          <w:tcPr>
            <w:tcW w:w="1215" w:type="pct"/>
            <w:tcBorders>
              <w:top w:val="nil"/>
              <w:bottom w:val="nil"/>
            </w:tcBorders>
          </w:tcPr>
          <w:p w14:paraId="5085FBC2" w14:textId="77777777" w:rsidR="003D7D83" w:rsidRPr="00656665" w:rsidRDefault="003D7D83" w:rsidP="009056A8">
            <w:pPr>
              <w:tabs>
                <w:tab w:val="right" w:pos="338"/>
              </w:tabs>
              <w:jc w:val="center"/>
              <w:rPr>
                <w:rFonts w:asciiTheme="majorBidi" w:hAnsiTheme="majorBidi" w:cstheme="majorBidi"/>
                <w:b/>
                <w:bCs/>
                <w:sz w:val="16"/>
                <w:szCs w:val="16"/>
                <w:rtl/>
              </w:rPr>
            </w:pPr>
            <w:r w:rsidRPr="00656665">
              <w:rPr>
                <w:sz w:val="16"/>
                <w:szCs w:val="16"/>
              </w:rPr>
              <w:t>+ 65.67%</w:t>
            </w:r>
            <w:r w:rsidRPr="00656665">
              <w:rPr>
                <w:rFonts w:asciiTheme="majorBidi" w:hAnsiTheme="majorBidi" w:cstheme="majorBidi" w:hint="cs"/>
                <w:b/>
                <w:bCs/>
                <w:sz w:val="16"/>
                <w:szCs w:val="16"/>
                <w:rtl/>
              </w:rPr>
              <w:t xml:space="preserve"> </w:t>
            </w:r>
          </w:p>
        </w:tc>
      </w:tr>
      <w:tr w:rsidR="00B343CC" w:rsidRPr="00656665" w14:paraId="1C249325" w14:textId="77777777" w:rsidTr="00B343CC">
        <w:trPr>
          <w:trHeight w:val="20"/>
          <w:jc w:val="center"/>
        </w:trPr>
        <w:tc>
          <w:tcPr>
            <w:tcW w:w="3785" w:type="pct"/>
            <w:tcBorders>
              <w:top w:val="nil"/>
              <w:bottom w:val="nil"/>
            </w:tcBorders>
          </w:tcPr>
          <w:p w14:paraId="1A8F3E98" w14:textId="77777777" w:rsidR="003D7D83" w:rsidRPr="00656665" w:rsidRDefault="003D7D83" w:rsidP="009056A8">
            <w:pPr>
              <w:bidi w:val="0"/>
              <w:rPr>
                <w:rFonts w:asciiTheme="majorBidi" w:hAnsiTheme="majorBidi" w:cstheme="majorBidi"/>
                <w:sz w:val="16"/>
                <w:szCs w:val="16"/>
              </w:rPr>
            </w:pPr>
            <w:r w:rsidRPr="00656665">
              <w:rPr>
                <w:sz w:val="16"/>
                <w:szCs w:val="16"/>
              </w:rPr>
              <w:t>Dried Pluses</w:t>
            </w:r>
          </w:p>
        </w:tc>
        <w:tc>
          <w:tcPr>
            <w:tcW w:w="1215" w:type="pct"/>
            <w:tcBorders>
              <w:top w:val="nil"/>
              <w:bottom w:val="nil"/>
            </w:tcBorders>
          </w:tcPr>
          <w:p w14:paraId="046119B9" w14:textId="77777777" w:rsidR="003D7D83" w:rsidRPr="00656665" w:rsidRDefault="003D7D83" w:rsidP="009056A8">
            <w:pPr>
              <w:tabs>
                <w:tab w:val="right" w:pos="338"/>
              </w:tabs>
              <w:jc w:val="center"/>
              <w:rPr>
                <w:rFonts w:asciiTheme="majorBidi" w:hAnsiTheme="majorBidi" w:cstheme="majorBidi"/>
                <w:sz w:val="16"/>
                <w:szCs w:val="16"/>
              </w:rPr>
            </w:pPr>
            <w:r w:rsidRPr="00656665">
              <w:rPr>
                <w:sz w:val="16"/>
                <w:szCs w:val="16"/>
              </w:rPr>
              <w:t>+ 56.81%</w:t>
            </w:r>
          </w:p>
        </w:tc>
      </w:tr>
      <w:tr w:rsidR="00B343CC" w:rsidRPr="00656665" w14:paraId="7FE67B42" w14:textId="77777777" w:rsidTr="00B343CC">
        <w:trPr>
          <w:trHeight w:val="20"/>
          <w:jc w:val="center"/>
        </w:trPr>
        <w:tc>
          <w:tcPr>
            <w:tcW w:w="3785" w:type="pct"/>
            <w:tcBorders>
              <w:top w:val="nil"/>
              <w:bottom w:val="nil"/>
            </w:tcBorders>
          </w:tcPr>
          <w:p w14:paraId="422DAA1D" w14:textId="77777777" w:rsidR="003D7D83" w:rsidRPr="00656665" w:rsidRDefault="003D7D83" w:rsidP="009056A8">
            <w:pPr>
              <w:bidi w:val="0"/>
              <w:rPr>
                <w:rFonts w:asciiTheme="majorBidi" w:hAnsiTheme="majorBidi" w:cstheme="majorBidi"/>
                <w:sz w:val="16"/>
                <w:szCs w:val="16"/>
              </w:rPr>
            </w:pPr>
            <w:r w:rsidRPr="00656665">
              <w:rPr>
                <w:sz w:val="16"/>
                <w:szCs w:val="16"/>
              </w:rPr>
              <w:t>Vegetable Oil</w:t>
            </w:r>
          </w:p>
        </w:tc>
        <w:tc>
          <w:tcPr>
            <w:tcW w:w="1215" w:type="pct"/>
            <w:tcBorders>
              <w:top w:val="nil"/>
              <w:bottom w:val="nil"/>
            </w:tcBorders>
          </w:tcPr>
          <w:p w14:paraId="6CE3F2CC" w14:textId="77777777" w:rsidR="003D7D83" w:rsidRPr="00656665" w:rsidRDefault="003D7D83" w:rsidP="009056A8">
            <w:pPr>
              <w:tabs>
                <w:tab w:val="right" w:pos="338"/>
              </w:tabs>
              <w:jc w:val="center"/>
              <w:rPr>
                <w:rFonts w:asciiTheme="majorBidi" w:hAnsiTheme="majorBidi" w:cstheme="majorBidi"/>
                <w:b/>
                <w:bCs/>
                <w:sz w:val="16"/>
                <w:szCs w:val="16"/>
              </w:rPr>
            </w:pPr>
            <w:r w:rsidRPr="00656665">
              <w:rPr>
                <w:sz w:val="16"/>
                <w:szCs w:val="16"/>
              </w:rPr>
              <w:t>+ 45.20%</w:t>
            </w:r>
          </w:p>
        </w:tc>
      </w:tr>
      <w:tr w:rsidR="00B343CC" w:rsidRPr="00656665" w14:paraId="5CD91015" w14:textId="77777777" w:rsidTr="00B343CC">
        <w:trPr>
          <w:trHeight w:val="20"/>
          <w:jc w:val="center"/>
        </w:trPr>
        <w:tc>
          <w:tcPr>
            <w:tcW w:w="3785" w:type="pct"/>
            <w:tcBorders>
              <w:top w:val="nil"/>
              <w:bottom w:val="nil"/>
            </w:tcBorders>
          </w:tcPr>
          <w:p w14:paraId="48139C9F" w14:textId="77777777" w:rsidR="003D7D83" w:rsidRPr="00656665" w:rsidRDefault="003D7D83" w:rsidP="009056A8">
            <w:pPr>
              <w:jc w:val="right"/>
              <w:rPr>
                <w:rFonts w:asciiTheme="majorBidi" w:hAnsiTheme="majorBidi" w:cstheme="majorBidi"/>
                <w:sz w:val="16"/>
                <w:szCs w:val="16"/>
              </w:rPr>
            </w:pPr>
            <w:r w:rsidRPr="00656665">
              <w:rPr>
                <w:sz w:val="16"/>
                <w:szCs w:val="16"/>
              </w:rPr>
              <w:t>Fresh Meat</w:t>
            </w:r>
          </w:p>
        </w:tc>
        <w:tc>
          <w:tcPr>
            <w:tcW w:w="1215" w:type="pct"/>
            <w:tcBorders>
              <w:top w:val="nil"/>
              <w:bottom w:val="nil"/>
            </w:tcBorders>
          </w:tcPr>
          <w:p w14:paraId="336C4D2A" w14:textId="77777777" w:rsidR="003D7D83" w:rsidRPr="00656665" w:rsidRDefault="003D7D83" w:rsidP="009056A8">
            <w:pPr>
              <w:tabs>
                <w:tab w:val="right" w:pos="338"/>
              </w:tabs>
              <w:jc w:val="center"/>
              <w:rPr>
                <w:rFonts w:asciiTheme="majorBidi" w:hAnsiTheme="majorBidi" w:cstheme="majorBidi"/>
                <w:sz w:val="16"/>
                <w:szCs w:val="16"/>
              </w:rPr>
            </w:pPr>
            <w:r w:rsidRPr="00656665">
              <w:rPr>
                <w:sz w:val="16"/>
                <w:szCs w:val="16"/>
              </w:rPr>
              <w:t>+ 43.64%</w:t>
            </w:r>
          </w:p>
        </w:tc>
      </w:tr>
      <w:tr w:rsidR="00B343CC" w:rsidRPr="00656665" w14:paraId="57CAC42C" w14:textId="77777777" w:rsidTr="00B343CC">
        <w:trPr>
          <w:trHeight w:val="20"/>
          <w:jc w:val="center"/>
        </w:trPr>
        <w:tc>
          <w:tcPr>
            <w:tcW w:w="3785" w:type="pct"/>
            <w:tcBorders>
              <w:top w:val="nil"/>
              <w:bottom w:val="nil"/>
            </w:tcBorders>
          </w:tcPr>
          <w:p w14:paraId="0E4AEEF1" w14:textId="77777777" w:rsidR="003D7D83" w:rsidRPr="00656665" w:rsidRDefault="003D7D83" w:rsidP="009056A8">
            <w:pPr>
              <w:bidi w:val="0"/>
              <w:rPr>
                <w:rFonts w:asciiTheme="majorBidi" w:hAnsiTheme="majorBidi" w:cstheme="majorBidi"/>
                <w:b/>
                <w:bCs/>
                <w:sz w:val="16"/>
                <w:szCs w:val="16"/>
              </w:rPr>
            </w:pPr>
            <w:r w:rsidRPr="00656665">
              <w:rPr>
                <w:b/>
                <w:bCs/>
                <w:sz w:val="16"/>
                <w:szCs w:val="16"/>
              </w:rPr>
              <w:t>Transport</w:t>
            </w:r>
          </w:p>
        </w:tc>
        <w:tc>
          <w:tcPr>
            <w:tcW w:w="1215" w:type="pct"/>
            <w:tcBorders>
              <w:top w:val="nil"/>
              <w:bottom w:val="nil"/>
            </w:tcBorders>
          </w:tcPr>
          <w:p w14:paraId="6BBD49F2" w14:textId="77777777" w:rsidR="003D7D83" w:rsidRPr="00656665" w:rsidRDefault="003D7D83" w:rsidP="009056A8">
            <w:pPr>
              <w:tabs>
                <w:tab w:val="right" w:pos="338"/>
              </w:tabs>
              <w:jc w:val="center"/>
              <w:rPr>
                <w:rFonts w:asciiTheme="majorBidi" w:hAnsiTheme="majorBidi" w:cstheme="majorBidi"/>
                <w:b/>
                <w:bCs/>
                <w:sz w:val="16"/>
                <w:szCs w:val="16"/>
              </w:rPr>
            </w:pPr>
            <w:r w:rsidRPr="00656665">
              <w:rPr>
                <w:b/>
                <w:bCs/>
                <w:sz w:val="16"/>
                <w:szCs w:val="16"/>
              </w:rPr>
              <w:t>+ 32.20%</w:t>
            </w:r>
          </w:p>
        </w:tc>
      </w:tr>
      <w:tr w:rsidR="00B343CC" w:rsidRPr="00656665" w14:paraId="3A9655B2" w14:textId="77777777" w:rsidTr="00B343CC">
        <w:trPr>
          <w:trHeight w:val="20"/>
          <w:jc w:val="center"/>
        </w:trPr>
        <w:tc>
          <w:tcPr>
            <w:tcW w:w="3785" w:type="pct"/>
            <w:tcBorders>
              <w:top w:val="nil"/>
              <w:bottom w:val="nil"/>
            </w:tcBorders>
          </w:tcPr>
          <w:p w14:paraId="18D49E2F" w14:textId="77777777" w:rsidR="003D7D83" w:rsidRPr="00656665" w:rsidRDefault="003D7D83" w:rsidP="009056A8">
            <w:pPr>
              <w:bidi w:val="0"/>
              <w:rPr>
                <w:rFonts w:asciiTheme="majorBidi" w:hAnsiTheme="majorBidi" w:cstheme="majorBidi"/>
                <w:b/>
                <w:bCs/>
                <w:sz w:val="16"/>
                <w:szCs w:val="16"/>
              </w:rPr>
            </w:pPr>
            <w:r w:rsidRPr="00656665">
              <w:rPr>
                <w:sz w:val="16"/>
                <w:szCs w:val="16"/>
              </w:rPr>
              <w:t>Liquid Fuel for Car "Petrol"</w:t>
            </w:r>
          </w:p>
        </w:tc>
        <w:tc>
          <w:tcPr>
            <w:tcW w:w="1215" w:type="pct"/>
            <w:tcBorders>
              <w:top w:val="nil"/>
              <w:bottom w:val="nil"/>
            </w:tcBorders>
          </w:tcPr>
          <w:p w14:paraId="2FC52E84" w14:textId="77777777" w:rsidR="003D7D83" w:rsidRPr="00656665" w:rsidRDefault="003D7D83" w:rsidP="009056A8">
            <w:pPr>
              <w:tabs>
                <w:tab w:val="right" w:pos="338"/>
              </w:tabs>
              <w:jc w:val="center"/>
              <w:rPr>
                <w:rFonts w:asciiTheme="majorBidi" w:hAnsiTheme="majorBidi" w:cstheme="majorBidi"/>
                <w:b/>
                <w:bCs/>
                <w:sz w:val="16"/>
                <w:szCs w:val="16"/>
              </w:rPr>
            </w:pPr>
            <w:r w:rsidRPr="00656665">
              <w:rPr>
                <w:sz w:val="16"/>
                <w:szCs w:val="16"/>
              </w:rPr>
              <w:t>+ 104.75%</w:t>
            </w:r>
          </w:p>
        </w:tc>
      </w:tr>
      <w:tr w:rsidR="00B343CC" w:rsidRPr="00656665" w14:paraId="73ABC4E2" w14:textId="77777777" w:rsidTr="00B343CC">
        <w:trPr>
          <w:trHeight w:val="20"/>
          <w:jc w:val="center"/>
        </w:trPr>
        <w:tc>
          <w:tcPr>
            <w:tcW w:w="3785" w:type="pct"/>
            <w:tcBorders>
              <w:top w:val="nil"/>
              <w:bottom w:val="nil"/>
            </w:tcBorders>
          </w:tcPr>
          <w:p w14:paraId="34625C0A" w14:textId="77777777" w:rsidR="003D7D83" w:rsidRPr="00656665" w:rsidRDefault="003D7D83" w:rsidP="009056A8">
            <w:pPr>
              <w:bidi w:val="0"/>
              <w:rPr>
                <w:rFonts w:asciiTheme="majorBidi" w:hAnsiTheme="majorBidi" w:cstheme="majorBidi"/>
                <w:sz w:val="16"/>
                <w:szCs w:val="16"/>
              </w:rPr>
            </w:pPr>
            <w:r w:rsidRPr="00656665">
              <w:rPr>
                <w:sz w:val="16"/>
                <w:szCs w:val="16"/>
              </w:rPr>
              <w:t>Liquid Fuel for Car "Diesel"</w:t>
            </w:r>
          </w:p>
        </w:tc>
        <w:tc>
          <w:tcPr>
            <w:tcW w:w="1215" w:type="pct"/>
            <w:tcBorders>
              <w:top w:val="nil"/>
              <w:bottom w:val="nil"/>
            </w:tcBorders>
          </w:tcPr>
          <w:p w14:paraId="3C71C553" w14:textId="77777777" w:rsidR="003D7D83" w:rsidRPr="00656665" w:rsidRDefault="003D7D83" w:rsidP="009056A8">
            <w:pPr>
              <w:tabs>
                <w:tab w:val="right" w:pos="338"/>
              </w:tabs>
              <w:jc w:val="center"/>
              <w:rPr>
                <w:rFonts w:asciiTheme="majorBidi" w:hAnsiTheme="majorBidi" w:cstheme="majorBidi"/>
                <w:sz w:val="16"/>
                <w:szCs w:val="16"/>
              </w:rPr>
            </w:pPr>
            <w:r w:rsidRPr="00656665">
              <w:rPr>
                <w:sz w:val="16"/>
                <w:szCs w:val="16"/>
              </w:rPr>
              <w:t>+ 10.58%</w:t>
            </w:r>
          </w:p>
        </w:tc>
      </w:tr>
      <w:tr w:rsidR="00B343CC" w:rsidRPr="00656665" w14:paraId="760B669D" w14:textId="77777777" w:rsidTr="00B343CC">
        <w:trPr>
          <w:trHeight w:val="20"/>
          <w:jc w:val="center"/>
        </w:trPr>
        <w:tc>
          <w:tcPr>
            <w:tcW w:w="3785" w:type="pct"/>
            <w:tcBorders>
              <w:top w:val="nil"/>
              <w:bottom w:val="nil"/>
            </w:tcBorders>
          </w:tcPr>
          <w:p w14:paraId="1FAD1A19" w14:textId="77777777" w:rsidR="003D7D83" w:rsidRPr="00656665" w:rsidRDefault="003D7D83" w:rsidP="009056A8">
            <w:pPr>
              <w:bidi w:val="0"/>
              <w:rPr>
                <w:rFonts w:asciiTheme="majorBidi" w:hAnsiTheme="majorBidi" w:cstheme="majorBidi"/>
                <w:b/>
                <w:bCs/>
                <w:sz w:val="16"/>
                <w:szCs w:val="16"/>
              </w:rPr>
            </w:pPr>
            <w:r w:rsidRPr="00656665">
              <w:rPr>
                <w:b/>
                <w:bCs/>
                <w:sz w:val="16"/>
                <w:szCs w:val="16"/>
              </w:rPr>
              <w:t>Housing, Water, Electricity, Gas and Other Fuels</w:t>
            </w:r>
          </w:p>
        </w:tc>
        <w:tc>
          <w:tcPr>
            <w:tcW w:w="1215" w:type="pct"/>
            <w:tcBorders>
              <w:top w:val="nil"/>
              <w:bottom w:val="nil"/>
            </w:tcBorders>
          </w:tcPr>
          <w:p w14:paraId="4ECEFEA2" w14:textId="77777777" w:rsidR="003D7D83" w:rsidRPr="00656665" w:rsidRDefault="003D7D83" w:rsidP="009056A8">
            <w:pPr>
              <w:tabs>
                <w:tab w:val="right" w:pos="338"/>
              </w:tabs>
              <w:jc w:val="center"/>
              <w:rPr>
                <w:rFonts w:asciiTheme="majorBidi" w:hAnsiTheme="majorBidi" w:cstheme="majorBidi"/>
                <w:b/>
                <w:bCs/>
                <w:sz w:val="16"/>
                <w:szCs w:val="16"/>
              </w:rPr>
            </w:pPr>
            <w:r w:rsidRPr="00656665">
              <w:rPr>
                <w:b/>
                <w:bCs/>
                <w:sz w:val="16"/>
                <w:szCs w:val="16"/>
              </w:rPr>
              <w:t>+ 24.29%</w:t>
            </w:r>
          </w:p>
        </w:tc>
      </w:tr>
      <w:tr w:rsidR="00B343CC" w:rsidRPr="00656665" w14:paraId="793A14B9" w14:textId="77777777" w:rsidTr="00B343CC">
        <w:trPr>
          <w:trHeight w:val="20"/>
          <w:jc w:val="center"/>
        </w:trPr>
        <w:tc>
          <w:tcPr>
            <w:tcW w:w="3785" w:type="pct"/>
            <w:tcBorders>
              <w:top w:val="nil"/>
              <w:bottom w:val="nil"/>
            </w:tcBorders>
          </w:tcPr>
          <w:p w14:paraId="2E6C861A" w14:textId="77777777" w:rsidR="003D7D83" w:rsidRPr="00656665" w:rsidRDefault="003D7D83" w:rsidP="009056A8">
            <w:pPr>
              <w:bidi w:val="0"/>
              <w:rPr>
                <w:rFonts w:asciiTheme="majorBidi" w:hAnsiTheme="majorBidi" w:cstheme="majorBidi"/>
                <w:sz w:val="16"/>
                <w:szCs w:val="16"/>
              </w:rPr>
            </w:pPr>
            <w:r w:rsidRPr="00656665">
              <w:rPr>
                <w:sz w:val="16"/>
                <w:szCs w:val="16"/>
              </w:rPr>
              <w:t>Gas</w:t>
            </w:r>
          </w:p>
        </w:tc>
        <w:tc>
          <w:tcPr>
            <w:tcW w:w="1215" w:type="pct"/>
            <w:tcBorders>
              <w:top w:val="nil"/>
              <w:bottom w:val="nil"/>
            </w:tcBorders>
          </w:tcPr>
          <w:p w14:paraId="14617109" w14:textId="77777777" w:rsidR="003D7D83" w:rsidRPr="00656665" w:rsidRDefault="003D7D83" w:rsidP="009056A8">
            <w:pPr>
              <w:tabs>
                <w:tab w:val="right" w:pos="338"/>
              </w:tabs>
              <w:jc w:val="center"/>
              <w:rPr>
                <w:rFonts w:asciiTheme="majorBidi" w:hAnsiTheme="majorBidi" w:cstheme="majorBidi"/>
                <w:sz w:val="16"/>
                <w:szCs w:val="16"/>
              </w:rPr>
            </w:pPr>
            <w:r w:rsidRPr="00656665">
              <w:rPr>
                <w:sz w:val="16"/>
                <w:szCs w:val="16"/>
              </w:rPr>
              <w:t>+ 97.65%</w:t>
            </w:r>
          </w:p>
        </w:tc>
      </w:tr>
      <w:tr w:rsidR="00B343CC" w:rsidRPr="00656665" w14:paraId="67E3D69D" w14:textId="77777777" w:rsidTr="00B343CC">
        <w:trPr>
          <w:trHeight w:val="20"/>
          <w:jc w:val="center"/>
        </w:trPr>
        <w:tc>
          <w:tcPr>
            <w:tcW w:w="3785" w:type="pct"/>
            <w:tcBorders>
              <w:top w:val="nil"/>
              <w:bottom w:val="nil"/>
            </w:tcBorders>
          </w:tcPr>
          <w:p w14:paraId="4439EEB9" w14:textId="77777777" w:rsidR="003D7D83" w:rsidRPr="00656665" w:rsidRDefault="003D7D83" w:rsidP="009056A8">
            <w:pPr>
              <w:bidi w:val="0"/>
              <w:rPr>
                <w:rFonts w:asciiTheme="majorBidi" w:hAnsiTheme="majorBidi" w:cstheme="majorBidi"/>
                <w:b/>
                <w:bCs/>
                <w:sz w:val="16"/>
                <w:szCs w:val="16"/>
              </w:rPr>
            </w:pPr>
            <w:r w:rsidRPr="00656665">
              <w:rPr>
                <w:b/>
                <w:bCs/>
                <w:sz w:val="16"/>
                <w:szCs w:val="16"/>
              </w:rPr>
              <w:t>Alcholoic Beverages, Tobacco and Narcotics</w:t>
            </w:r>
          </w:p>
        </w:tc>
        <w:tc>
          <w:tcPr>
            <w:tcW w:w="1215" w:type="pct"/>
            <w:tcBorders>
              <w:top w:val="nil"/>
              <w:bottom w:val="nil"/>
            </w:tcBorders>
          </w:tcPr>
          <w:p w14:paraId="7D88103C" w14:textId="77777777" w:rsidR="003D7D83" w:rsidRPr="00656665" w:rsidRDefault="003D7D83" w:rsidP="009056A8">
            <w:pPr>
              <w:tabs>
                <w:tab w:val="right" w:pos="338"/>
              </w:tabs>
              <w:jc w:val="center"/>
              <w:rPr>
                <w:rFonts w:asciiTheme="majorBidi" w:hAnsiTheme="majorBidi" w:cstheme="majorBidi"/>
                <w:b/>
                <w:bCs/>
                <w:sz w:val="16"/>
                <w:szCs w:val="16"/>
              </w:rPr>
            </w:pPr>
            <w:r w:rsidRPr="00656665">
              <w:rPr>
                <w:b/>
                <w:bCs/>
                <w:sz w:val="16"/>
                <w:szCs w:val="16"/>
              </w:rPr>
              <w:t xml:space="preserve">  + 510.59%</w:t>
            </w:r>
          </w:p>
        </w:tc>
      </w:tr>
      <w:tr w:rsidR="00B343CC" w:rsidRPr="00656665" w14:paraId="78651CB2" w14:textId="77777777" w:rsidTr="00B343CC">
        <w:trPr>
          <w:trHeight w:val="20"/>
          <w:jc w:val="center"/>
        </w:trPr>
        <w:tc>
          <w:tcPr>
            <w:tcW w:w="3785" w:type="pct"/>
            <w:tcBorders>
              <w:top w:val="nil"/>
              <w:bottom w:val="single" w:sz="4" w:space="0" w:color="auto"/>
            </w:tcBorders>
          </w:tcPr>
          <w:p w14:paraId="2AAD38F3" w14:textId="77777777" w:rsidR="003D7D83" w:rsidRPr="00656665" w:rsidRDefault="003D7D83" w:rsidP="009056A8">
            <w:pPr>
              <w:jc w:val="right"/>
              <w:rPr>
                <w:rFonts w:asciiTheme="majorBidi" w:hAnsiTheme="majorBidi" w:cstheme="majorBidi"/>
                <w:sz w:val="16"/>
                <w:szCs w:val="16"/>
              </w:rPr>
            </w:pPr>
            <w:r w:rsidRPr="00656665">
              <w:rPr>
                <w:sz w:val="16"/>
                <w:szCs w:val="16"/>
              </w:rPr>
              <w:t>Imported Cigarettes</w:t>
            </w:r>
          </w:p>
        </w:tc>
        <w:tc>
          <w:tcPr>
            <w:tcW w:w="1215" w:type="pct"/>
            <w:tcBorders>
              <w:top w:val="nil"/>
              <w:bottom w:val="single" w:sz="4" w:space="0" w:color="auto"/>
            </w:tcBorders>
          </w:tcPr>
          <w:p w14:paraId="526E9C0A" w14:textId="77777777" w:rsidR="003D7D83" w:rsidRPr="00656665" w:rsidRDefault="003D7D83" w:rsidP="009056A8">
            <w:pPr>
              <w:tabs>
                <w:tab w:val="right" w:pos="338"/>
              </w:tabs>
              <w:jc w:val="center"/>
              <w:rPr>
                <w:rFonts w:asciiTheme="majorBidi" w:hAnsiTheme="majorBidi" w:cstheme="majorBidi"/>
                <w:sz w:val="16"/>
                <w:szCs w:val="16"/>
                <w:rtl/>
              </w:rPr>
            </w:pPr>
            <w:r w:rsidRPr="00656665">
              <w:rPr>
                <w:sz w:val="16"/>
                <w:szCs w:val="16"/>
              </w:rPr>
              <w:t>+ 589.40%</w:t>
            </w:r>
          </w:p>
        </w:tc>
      </w:tr>
    </w:tbl>
    <w:p w14:paraId="5A0ADC89" w14:textId="77777777" w:rsidR="003D7D83" w:rsidRPr="00B343CC" w:rsidRDefault="003D7D83" w:rsidP="003D7D83">
      <w:pPr>
        <w:rPr>
          <w:b/>
          <w:bCs/>
        </w:rPr>
      </w:pPr>
    </w:p>
    <w:p w14:paraId="0856E16C" w14:textId="77777777" w:rsidR="00656665" w:rsidRDefault="00656665">
      <w:pPr>
        <w:bidi w:val="0"/>
        <w:rPr>
          <w:rFonts w:cs="Times New Roman"/>
          <w:b/>
          <w:bCs/>
        </w:rPr>
      </w:pPr>
      <w:r>
        <w:br w:type="page"/>
      </w:r>
    </w:p>
    <w:p w14:paraId="36F55C51" w14:textId="77777777" w:rsidR="00E958DE" w:rsidRPr="00927676" w:rsidRDefault="00E958DE" w:rsidP="00E958DE">
      <w:pPr>
        <w:pStyle w:val="BodyText2"/>
        <w:jc w:val="left"/>
        <w:rPr>
          <w:sz w:val="20"/>
          <w:szCs w:val="20"/>
        </w:rPr>
      </w:pPr>
      <w:r w:rsidRPr="00927676">
        <w:rPr>
          <w:sz w:val="20"/>
          <w:szCs w:val="20"/>
        </w:rPr>
        <w:lastRenderedPageBreak/>
        <w:t>Producer Price Index:</w:t>
      </w:r>
      <w:r w:rsidRPr="00927676">
        <w:rPr>
          <w:sz w:val="20"/>
          <w:szCs w:val="20"/>
          <w:rtl/>
        </w:rPr>
        <w:t xml:space="preserve"> </w:t>
      </w:r>
    </w:p>
    <w:p w14:paraId="7DE3716E"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overall PPI in Palestine</w:t>
      </w:r>
      <w:r>
        <w:rPr>
          <w:rFonts w:asciiTheme="majorBidi" w:hAnsiTheme="majorBidi" w:cstheme="majorBidi"/>
          <w:sz w:val="19"/>
          <w:szCs w:val="19"/>
        </w:rPr>
        <w:t>,</w:t>
      </w:r>
      <w:r w:rsidRPr="00927676">
        <w:rPr>
          <w:rFonts w:asciiTheme="majorBidi" w:hAnsiTheme="majorBidi" w:cstheme="majorBidi"/>
          <w:sz w:val="19"/>
          <w:szCs w:val="19"/>
        </w:rPr>
        <w:t xml:space="preserve"> with its base year (2019=100)</w:t>
      </w:r>
      <w:r>
        <w:rPr>
          <w:rFonts w:asciiTheme="majorBidi" w:hAnsiTheme="majorBidi" w:cstheme="majorBidi"/>
          <w:sz w:val="19"/>
          <w:szCs w:val="19"/>
        </w:rPr>
        <w:t>,</w:t>
      </w:r>
      <w:r w:rsidRPr="00927676">
        <w:rPr>
          <w:rFonts w:asciiTheme="majorBidi" w:hAnsiTheme="majorBidi" w:cstheme="majorBidi"/>
          <w:sz w:val="19"/>
          <w:szCs w:val="19"/>
        </w:rPr>
        <w:t xml:space="preserve"> reached 150.44 in 2024, indicat</w:t>
      </w:r>
      <w:r>
        <w:rPr>
          <w:rFonts w:asciiTheme="majorBidi" w:hAnsiTheme="majorBidi" w:cstheme="majorBidi"/>
          <w:sz w:val="19"/>
          <w:szCs w:val="19"/>
        </w:rPr>
        <w:t>ing</w:t>
      </w:r>
      <w:r w:rsidRPr="00927676">
        <w:rPr>
          <w:rFonts w:asciiTheme="majorBidi" w:hAnsiTheme="majorBidi" w:cstheme="majorBidi"/>
          <w:sz w:val="19"/>
          <w:szCs w:val="19"/>
        </w:rPr>
        <w:t xml:space="preserve"> a sharp increase </w:t>
      </w:r>
      <w:r>
        <w:rPr>
          <w:rFonts w:asciiTheme="majorBidi" w:hAnsiTheme="majorBidi" w:cstheme="majorBidi"/>
          <w:sz w:val="19"/>
          <w:szCs w:val="19"/>
        </w:rPr>
        <w:t>of</w:t>
      </w:r>
      <w:r w:rsidRPr="00927676">
        <w:rPr>
          <w:rFonts w:asciiTheme="majorBidi" w:hAnsiTheme="majorBidi" w:cstheme="majorBidi"/>
          <w:sz w:val="19"/>
          <w:szCs w:val="19"/>
        </w:rPr>
        <w:t xml:space="preserve"> 35.</w:t>
      </w:r>
      <w:r w:rsidRPr="00927676">
        <w:rPr>
          <w:rFonts w:asciiTheme="majorBidi" w:hAnsiTheme="majorBidi" w:cstheme="majorBidi"/>
          <w:sz w:val="19"/>
          <w:szCs w:val="19"/>
          <w:rtl/>
          <w:lang w:eastAsia="ar-SA"/>
        </w:rPr>
        <w:t>42</w:t>
      </w:r>
      <w:r w:rsidRPr="00927676">
        <w:rPr>
          <w:rFonts w:asciiTheme="majorBidi" w:hAnsiTheme="majorBidi" w:cstheme="majorBidi"/>
          <w:sz w:val="19"/>
          <w:szCs w:val="19"/>
        </w:rPr>
        <w:t>% compared to 2023.</w:t>
      </w:r>
    </w:p>
    <w:p w14:paraId="19837948"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Prices of PPI for 2024 sharply increased due to the increase in the prices of goods in the following major activities: Agriculture, forestry and fishing activities by 99.14%, manufacturing activities by 7.52%, water supply, sewerage, waste management and remediation activities by 3.80%, and electricity, gas, steam and air conditioning supply activities by 2.77%</w:t>
      </w:r>
      <w:r>
        <w:rPr>
          <w:rFonts w:asciiTheme="majorBidi" w:hAnsiTheme="majorBidi" w:cstheme="majorBidi"/>
          <w:sz w:val="19"/>
          <w:szCs w:val="19"/>
        </w:rPr>
        <w:t>,</w:t>
      </w:r>
      <w:r w:rsidRPr="00927676">
        <w:rPr>
          <w:rFonts w:asciiTheme="majorBidi" w:hAnsiTheme="majorBidi" w:cstheme="majorBidi"/>
          <w:sz w:val="19"/>
          <w:szCs w:val="19"/>
        </w:rPr>
        <w:t xml:space="preserve"> </w:t>
      </w:r>
      <w:r>
        <w:rPr>
          <w:rFonts w:asciiTheme="majorBidi" w:hAnsiTheme="majorBidi" w:cstheme="majorBidi"/>
          <w:sz w:val="19"/>
          <w:szCs w:val="19"/>
        </w:rPr>
        <w:t>w</w:t>
      </w:r>
      <w:r w:rsidRPr="00927676">
        <w:rPr>
          <w:rFonts w:asciiTheme="majorBidi" w:hAnsiTheme="majorBidi" w:cstheme="majorBidi"/>
          <w:sz w:val="19"/>
          <w:szCs w:val="19"/>
        </w:rPr>
        <w:t xml:space="preserve">hile mining and quarrying activities decreased by 1.03% in 2024 compared to 2023. </w:t>
      </w:r>
    </w:p>
    <w:p w14:paraId="63D07D6B"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prices of locally consumed products sharply increased by 38.55%</w:t>
      </w:r>
      <w:r>
        <w:rPr>
          <w:rFonts w:asciiTheme="majorBidi" w:hAnsiTheme="majorBidi" w:cstheme="majorBidi"/>
          <w:sz w:val="19"/>
          <w:szCs w:val="19"/>
        </w:rPr>
        <w:t>,</w:t>
      </w:r>
      <w:r w:rsidRPr="00927676">
        <w:rPr>
          <w:rFonts w:asciiTheme="majorBidi" w:hAnsiTheme="majorBidi" w:cstheme="majorBidi"/>
          <w:sz w:val="19"/>
          <w:szCs w:val="19"/>
        </w:rPr>
        <w:t xml:space="preserve"> and the prices of local exported products increased by 5.69%. </w:t>
      </w:r>
    </w:p>
    <w:p w14:paraId="2DAD64BA" w14:textId="77777777" w:rsidR="003D7D83" w:rsidRPr="00B343CC" w:rsidRDefault="003D7D83" w:rsidP="003D7D83">
      <w:pPr>
        <w:bidi w:val="0"/>
        <w:jc w:val="center"/>
        <w:rPr>
          <w:rFonts w:cs="Times New Roman"/>
          <w:b/>
          <w:bCs/>
          <w:lang w:eastAsia="ar-SA"/>
        </w:rPr>
      </w:pPr>
    </w:p>
    <w:p w14:paraId="7E024195" w14:textId="77777777" w:rsidR="003D7D83" w:rsidRPr="00656665" w:rsidRDefault="003D7D83" w:rsidP="003D7D83">
      <w:pPr>
        <w:bidi w:val="0"/>
        <w:jc w:val="center"/>
        <w:rPr>
          <w:rFonts w:cs="Times New Roman"/>
          <w:b/>
          <w:bCs/>
          <w:sz w:val="18"/>
          <w:szCs w:val="18"/>
          <w:lang w:eastAsia="ar-SA"/>
        </w:rPr>
      </w:pPr>
      <w:r w:rsidRPr="00656665">
        <w:rPr>
          <w:rFonts w:cs="Times New Roman"/>
          <w:b/>
          <w:bCs/>
          <w:sz w:val="18"/>
          <w:szCs w:val="18"/>
          <w:lang w:eastAsia="ar-SA"/>
        </w:rPr>
        <w:t>Yearly Percentage Changes in PPI in Palestine for 2011 – 2024</w:t>
      </w:r>
    </w:p>
    <w:p w14:paraId="379AFA06" w14:textId="77777777" w:rsidR="003D7D83" w:rsidRPr="00B343CC" w:rsidRDefault="003D7D83" w:rsidP="003D7D83">
      <w:pPr>
        <w:bidi w:val="0"/>
        <w:jc w:val="center"/>
        <w:rPr>
          <w:rFonts w:cs="Times New Roman"/>
          <w:b/>
          <w:bCs/>
          <w:sz w:val="8"/>
          <w:szCs w:val="8"/>
          <w:lang w:eastAsia="ar-SA"/>
        </w:rPr>
      </w:pPr>
    </w:p>
    <w:p w14:paraId="4F768CA0" w14:textId="77777777" w:rsidR="003D7D83" w:rsidRPr="00B343CC" w:rsidRDefault="003D7D83" w:rsidP="003D7D83">
      <w:pPr>
        <w:bidi w:val="0"/>
        <w:jc w:val="center"/>
        <w:rPr>
          <w:rFonts w:cs="Times New Roman"/>
        </w:rPr>
      </w:pPr>
      <w:r w:rsidRPr="00B343CC">
        <w:rPr>
          <w:rFonts w:cs="Times New Roman"/>
        </w:rPr>
        <w:drawing>
          <wp:inline distT="0" distB="0" distL="0" distR="0" wp14:anchorId="46C5E0B1" wp14:editId="458FCABA">
            <wp:extent cx="4674647" cy="2324100"/>
            <wp:effectExtent l="0" t="0" r="12065" b="0"/>
            <wp:docPr id="10" name="Char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1FDA4CE" w14:textId="77777777" w:rsidR="003D7D83" w:rsidRPr="00B343CC" w:rsidRDefault="003D7D83" w:rsidP="003D7D83">
      <w:pPr>
        <w:pStyle w:val="BodyText2"/>
        <w:jc w:val="center"/>
        <w:rPr>
          <w:snapToGrid w:val="0"/>
          <w:sz w:val="20"/>
          <w:szCs w:val="20"/>
        </w:rPr>
      </w:pPr>
    </w:p>
    <w:p w14:paraId="4AA81BAC" w14:textId="77777777" w:rsidR="003D7D83" w:rsidRPr="00B343CC" w:rsidRDefault="003D7D83" w:rsidP="003D7D83">
      <w:pPr>
        <w:pStyle w:val="BodyText2"/>
        <w:jc w:val="center"/>
        <w:rPr>
          <w:sz w:val="20"/>
          <w:szCs w:val="20"/>
        </w:rPr>
      </w:pPr>
      <w:r w:rsidRPr="00B343CC">
        <w:rPr>
          <w:snapToGrid w:val="0"/>
          <w:sz w:val="20"/>
          <w:szCs w:val="20"/>
        </w:rPr>
        <w:t>The Trend Line of</w:t>
      </w:r>
      <w:r w:rsidRPr="00B343CC">
        <w:rPr>
          <w:sz w:val="20"/>
          <w:szCs w:val="20"/>
        </w:rPr>
        <w:t xml:space="preserve"> Producer Price Index Numbers in Palestine </w:t>
      </w:r>
    </w:p>
    <w:p w14:paraId="2E3A6F1A" w14:textId="77777777" w:rsidR="003D7D83" w:rsidRPr="00B343CC" w:rsidRDefault="003D7D83" w:rsidP="003D7D83">
      <w:pPr>
        <w:pStyle w:val="BodyText2"/>
        <w:jc w:val="center"/>
        <w:rPr>
          <w:sz w:val="20"/>
          <w:szCs w:val="20"/>
          <w:rtl/>
        </w:rPr>
      </w:pPr>
      <w:r w:rsidRPr="00B343CC">
        <w:rPr>
          <w:sz w:val="20"/>
          <w:szCs w:val="20"/>
        </w:rPr>
        <w:t>for: January – December 2024</w:t>
      </w:r>
      <w:r w:rsidRPr="00B343CC">
        <w:rPr>
          <w:sz w:val="20"/>
          <w:szCs w:val="20"/>
          <w:rtl/>
        </w:rPr>
        <w:t xml:space="preserve"> </w:t>
      </w:r>
    </w:p>
    <w:p w14:paraId="12C4F537" w14:textId="77777777" w:rsidR="003D7D83" w:rsidRPr="00B343CC" w:rsidRDefault="003D7D83" w:rsidP="003D7D83">
      <w:pPr>
        <w:tabs>
          <w:tab w:val="right" w:pos="142"/>
          <w:tab w:val="right" w:pos="8931"/>
        </w:tabs>
        <w:bidi w:val="0"/>
        <w:rPr>
          <w:rFonts w:cs="Times New Roman"/>
          <w:sz w:val="16"/>
          <w:szCs w:val="16"/>
        </w:rPr>
      </w:pPr>
      <w:r w:rsidRPr="00B343CC">
        <w:rPr>
          <w:rFonts w:cs="Times New Roman"/>
          <w:sz w:val="16"/>
          <w:szCs w:val="16"/>
        </w:rPr>
        <w:t>Base Year (2019 = 100)</w:t>
      </w:r>
    </w:p>
    <w:p w14:paraId="28FFFE5F" w14:textId="77777777" w:rsidR="003D7D83" w:rsidRPr="00B343CC" w:rsidRDefault="003D7D83" w:rsidP="003D7D83">
      <w:pPr>
        <w:tabs>
          <w:tab w:val="right" w:pos="142"/>
          <w:tab w:val="right" w:pos="8931"/>
        </w:tabs>
        <w:bidi w:val="0"/>
        <w:jc w:val="center"/>
        <w:rPr>
          <w:rFonts w:cs="Times New Roman"/>
          <w:b/>
          <w:bCs/>
        </w:rPr>
      </w:pPr>
      <w:r w:rsidRPr="00B343CC">
        <w:rPr>
          <w:rFonts w:cs="Times New Roman"/>
          <w:b/>
          <w:bCs/>
        </w:rPr>
        <w:drawing>
          <wp:inline distT="0" distB="0" distL="0" distR="0" wp14:anchorId="180F5A3F" wp14:editId="00CB1DF1">
            <wp:extent cx="4680585" cy="2247900"/>
            <wp:effectExtent l="0" t="0" r="571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FCE4F9C" w14:textId="77777777" w:rsidR="003D7D83" w:rsidRPr="00B343CC" w:rsidRDefault="003D7D83" w:rsidP="003D7D83">
      <w:pPr>
        <w:tabs>
          <w:tab w:val="right" w:pos="142"/>
          <w:tab w:val="right" w:pos="8931"/>
        </w:tabs>
        <w:bidi w:val="0"/>
        <w:rPr>
          <w:rFonts w:cs="Times New Roman"/>
          <w:b/>
          <w:bCs/>
        </w:rPr>
      </w:pPr>
    </w:p>
    <w:p w14:paraId="6382C617" w14:textId="77777777" w:rsidR="00E958DE" w:rsidRPr="00927676" w:rsidRDefault="00E958DE" w:rsidP="00E958DE">
      <w:pPr>
        <w:pStyle w:val="BodyText2"/>
        <w:bidi/>
        <w:jc w:val="right"/>
        <w:rPr>
          <w:sz w:val="20"/>
          <w:szCs w:val="20"/>
        </w:rPr>
      </w:pPr>
      <w:r w:rsidRPr="00927676">
        <w:rPr>
          <w:sz w:val="20"/>
          <w:szCs w:val="20"/>
        </w:rPr>
        <w:lastRenderedPageBreak/>
        <w:t xml:space="preserve">Wholesale Price Index </w:t>
      </w:r>
    </w:p>
    <w:p w14:paraId="2AF65E50" w14:textId="77777777" w:rsidR="00E958DE" w:rsidRPr="00927676" w:rsidRDefault="00E958DE" w:rsidP="00E958DE">
      <w:pPr>
        <w:pStyle w:val="ListParagraph"/>
        <w:numPr>
          <w:ilvl w:val="0"/>
          <w:numId w:val="3"/>
        </w:numPr>
        <w:bidi w:val="0"/>
        <w:ind w:left="426" w:hanging="284"/>
        <w:contextualSpacing/>
        <w:jc w:val="lowKashida"/>
        <w:rPr>
          <w:sz w:val="19"/>
          <w:szCs w:val="19"/>
        </w:rPr>
      </w:pPr>
      <w:r w:rsidRPr="00927676">
        <w:rPr>
          <w:sz w:val="19"/>
          <w:szCs w:val="19"/>
        </w:rPr>
        <w:t>The overall Wholesale Price Index in Palestine during 2024 recorded a sharp increase by 15.93% compared with 2023 (32.83% for local consumed products, and by 9.61% for imported products).</w:t>
      </w:r>
      <w:r w:rsidRPr="00927676">
        <w:rPr>
          <w:sz w:val="19"/>
          <w:szCs w:val="19"/>
          <w:rtl/>
        </w:rPr>
        <w:t xml:space="preserve"> </w:t>
      </w:r>
      <w:r w:rsidRPr="00927676">
        <w:rPr>
          <w:sz w:val="19"/>
          <w:szCs w:val="19"/>
        </w:rPr>
        <w:t>The changes in WPI for 2024 were traced back to changes in prices of the following division</w:t>
      </w:r>
      <w:r>
        <w:rPr>
          <w:sz w:val="19"/>
          <w:szCs w:val="19"/>
        </w:rPr>
        <w:t>s</w:t>
      </w:r>
      <w:r w:rsidRPr="00927676">
        <w:rPr>
          <w:sz w:val="19"/>
          <w:szCs w:val="19"/>
        </w:rPr>
        <w:t xml:space="preserve"> compared with </w:t>
      </w:r>
      <w:r>
        <w:rPr>
          <w:sz w:val="19"/>
          <w:szCs w:val="19"/>
        </w:rPr>
        <w:t xml:space="preserve">the </w:t>
      </w:r>
      <w:r w:rsidRPr="00927676">
        <w:rPr>
          <w:sz w:val="19"/>
          <w:szCs w:val="19"/>
        </w:rPr>
        <w:t>previous year:</w:t>
      </w:r>
    </w:p>
    <w:p w14:paraId="32DC16E4" w14:textId="77777777" w:rsidR="003D7D83" w:rsidRPr="00B343CC" w:rsidRDefault="003D7D83" w:rsidP="003D7D83">
      <w:pPr>
        <w:pStyle w:val="ListParagraph"/>
        <w:bidi w:val="0"/>
        <w:ind w:left="426"/>
        <w:contextualSpacing/>
        <w:jc w:val="lowKashida"/>
        <w:rPr>
          <w:sz w:val="19"/>
          <w:szCs w:val="19"/>
        </w:rPr>
      </w:pPr>
    </w:p>
    <w:tbl>
      <w:tblPr>
        <w:tblStyle w:val="TableGrid"/>
        <w:tblW w:w="5000" w:type="pct"/>
        <w:jc w:val="center"/>
        <w:tblBorders>
          <w:top w:val="single" w:sz="4" w:space="0" w:color="000000"/>
          <w:left w:val="none" w:sz="0" w:space="0" w:color="auto"/>
          <w:bottom w:val="single" w:sz="4" w:space="0" w:color="000000"/>
          <w:right w:val="none" w:sz="0" w:space="0" w:color="auto"/>
          <w:insideH w:val="none" w:sz="0" w:space="0" w:color="auto"/>
          <w:insideV w:val="none" w:sz="0" w:space="0" w:color="auto"/>
        </w:tblBorders>
        <w:tblLook w:val="04A0" w:firstRow="1" w:lastRow="0" w:firstColumn="1" w:lastColumn="0" w:noHBand="0" w:noVBand="1"/>
      </w:tblPr>
      <w:tblGrid>
        <w:gridCol w:w="5708"/>
        <w:gridCol w:w="1653"/>
      </w:tblGrid>
      <w:tr w:rsidR="003D7D83" w:rsidRPr="00656665" w14:paraId="258A668F" w14:textId="77777777" w:rsidTr="009056A8">
        <w:trPr>
          <w:trHeight w:val="20"/>
          <w:tblHeader/>
          <w:jc w:val="center"/>
        </w:trPr>
        <w:tc>
          <w:tcPr>
            <w:tcW w:w="3877" w:type="pct"/>
            <w:tcBorders>
              <w:top w:val="single" w:sz="4" w:space="0" w:color="auto"/>
              <w:left w:val="single" w:sz="4" w:space="0" w:color="auto"/>
              <w:bottom w:val="single" w:sz="4" w:space="0" w:color="auto"/>
              <w:right w:val="single" w:sz="4" w:space="0" w:color="auto"/>
            </w:tcBorders>
          </w:tcPr>
          <w:p w14:paraId="4066E598" w14:textId="77777777" w:rsidR="003D7D83" w:rsidRPr="00656665" w:rsidRDefault="003D7D83" w:rsidP="009056A8">
            <w:pPr>
              <w:bidi w:val="0"/>
              <w:jc w:val="center"/>
              <w:outlineLvl w:val="1"/>
              <w:rPr>
                <w:rFonts w:asciiTheme="majorBidi" w:hAnsiTheme="majorBidi" w:cstheme="majorBidi"/>
                <w:b/>
                <w:bCs/>
                <w:sz w:val="16"/>
                <w:szCs w:val="16"/>
                <w:rtl/>
              </w:rPr>
            </w:pPr>
            <w:r w:rsidRPr="00656665">
              <w:rPr>
                <w:rFonts w:asciiTheme="majorBidi" w:hAnsiTheme="majorBidi" w:cstheme="majorBidi"/>
                <w:b/>
                <w:bCs/>
                <w:sz w:val="16"/>
                <w:szCs w:val="16"/>
              </w:rPr>
              <w:t>Division during 2024</w:t>
            </w:r>
          </w:p>
        </w:tc>
        <w:tc>
          <w:tcPr>
            <w:tcW w:w="1123" w:type="pct"/>
            <w:tcBorders>
              <w:top w:val="single" w:sz="4" w:space="0" w:color="auto"/>
              <w:left w:val="single" w:sz="4" w:space="0" w:color="auto"/>
              <w:bottom w:val="single" w:sz="4" w:space="0" w:color="000000"/>
              <w:right w:val="single" w:sz="4" w:space="0" w:color="auto"/>
            </w:tcBorders>
          </w:tcPr>
          <w:p w14:paraId="4682DDF9" w14:textId="77777777" w:rsidR="003D7D83" w:rsidRPr="00656665" w:rsidRDefault="003D7D83" w:rsidP="009056A8">
            <w:pPr>
              <w:bidi w:val="0"/>
              <w:jc w:val="center"/>
              <w:outlineLvl w:val="1"/>
              <w:rPr>
                <w:rFonts w:asciiTheme="majorBidi" w:hAnsiTheme="majorBidi" w:cstheme="majorBidi"/>
                <w:b/>
                <w:bCs/>
                <w:sz w:val="16"/>
                <w:szCs w:val="16"/>
              </w:rPr>
            </w:pPr>
            <w:r w:rsidRPr="00656665">
              <w:rPr>
                <w:rFonts w:asciiTheme="majorBidi" w:hAnsiTheme="majorBidi" w:cstheme="majorBidi"/>
                <w:b/>
                <w:bCs/>
                <w:sz w:val="16"/>
                <w:szCs w:val="16"/>
              </w:rPr>
              <w:t>Percentage Change</w:t>
            </w:r>
          </w:p>
        </w:tc>
      </w:tr>
      <w:tr w:rsidR="00E958DE" w:rsidRPr="00656665" w14:paraId="22EB999E" w14:textId="77777777" w:rsidTr="009056A8">
        <w:trPr>
          <w:trHeight w:val="20"/>
          <w:jc w:val="center"/>
        </w:trPr>
        <w:tc>
          <w:tcPr>
            <w:tcW w:w="3877" w:type="pct"/>
            <w:tcBorders>
              <w:top w:val="single" w:sz="4" w:space="0" w:color="auto"/>
              <w:left w:val="single" w:sz="4" w:space="0" w:color="auto"/>
              <w:bottom w:val="nil"/>
              <w:right w:val="single" w:sz="4" w:space="0" w:color="auto"/>
            </w:tcBorders>
          </w:tcPr>
          <w:p w14:paraId="498D5244" w14:textId="75BA4CF6" w:rsidR="00E958DE" w:rsidRPr="00E958DE" w:rsidRDefault="00E958DE" w:rsidP="00E958DE">
            <w:pPr>
              <w:bidi w:val="0"/>
              <w:jc w:val="both"/>
              <w:outlineLvl w:val="1"/>
              <w:rPr>
                <w:rFonts w:asciiTheme="majorBidi" w:hAnsiTheme="majorBidi" w:cstheme="majorBidi"/>
                <w:sz w:val="16"/>
                <w:szCs w:val="16"/>
              </w:rPr>
            </w:pPr>
            <w:r w:rsidRPr="00E958DE">
              <w:rPr>
                <w:rFonts w:asciiTheme="majorBidi" w:hAnsiTheme="majorBidi" w:cstheme="majorBidi"/>
                <w:sz w:val="16"/>
                <w:szCs w:val="16"/>
              </w:rPr>
              <w:t>Wholesale trade, except for motor vehicles and motorcycles</w:t>
            </w:r>
          </w:p>
        </w:tc>
        <w:tc>
          <w:tcPr>
            <w:tcW w:w="1123" w:type="pct"/>
            <w:tcBorders>
              <w:top w:val="single" w:sz="4" w:space="0" w:color="000000"/>
              <w:left w:val="single" w:sz="4" w:space="0" w:color="auto"/>
              <w:bottom w:val="nil"/>
              <w:right w:val="single" w:sz="4" w:space="0" w:color="auto"/>
            </w:tcBorders>
          </w:tcPr>
          <w:p w14:paraId="4D99DE22" w14:textId="77777777" w:rsidR="00E958DE" w:rsidRPr="00656665" w:rsidRDefault="00E958DE" w:rsidP="00E958DE">
            <w:pPr>
              <w:bidi w:val="0"/>
              <w:jc w:val="center"/>
              <w:outlineLvl w:val="1"/>
              <w:rPr>
                <w:rFonts w:asciiTheme="majorBidi" w:hAnsiTheme="majorBidi" w:cstheme="majorBidi"/>
                <w:sz w:val="16"/>
                <w:szCs w:val="16"/>
              </w:rPr>
            </w:pPr>
            <w:r w:rsidRPr="00656665">
              <w:rPr>
                <w:rFonts w:asciiTheme="majorBidi" w:hAnsiTheme="majorBidi" w:cstheme="majorBidi"/>
                <w:sz w:val="16"/>
                <w:szCs w:val="16"/>
              </w:rPr>
              <w:t>+17.65%</w:t>
            </w:r>
          </w:p>
        </w:tc>
      </w:tr>
      <w:tr w:rsidR="00E958DE" w:rsidRPr="00656665" w14:paraId="0EBA706A" w14:textId="77777777" w:rsidTr="009056A8">
        <w:trPr>
          <w:trHeight w:val="20"/>
          <w:jc w:val="center"/>
        </w:trPr>
        <w:tc>
          <w:tcPr>
            <w:tcW w:w="3877" w:type="pct"/>
            <w:tcBorders>
              <w:top w:val="nil"/>
              <w:left w:val="single" w:sz="4" w:space="0" w:color="auto"/>
              <w:bottom w:val="single" w:sz="4" w:space="0" w:color="auto"/>
              <w:right w:val="single" w:sz="4" w:space="0" w:color="auto"/>
            </w:tcBorders>
          </w:tcPr>
          <w:p w14:paraId="4370FF04" w14:textId="11A05A15" w:rsidR="00E958DE" w:rsidRPr="00E958DE" w:rsidRDefault="00E958DE" w:rsidP="00E958DE">
            <w:pPr>
              <w:bidi w:val="0"/>
              <w:jc w:val="both"/>
              <w:outlineLvl w:val="1"/>
              <w:rPr>
                <w:rFonts w:asciiTheme="majorBidi" w:hAnsiTheme="majorBidi" w:cstheme="majorBidi"/>
                <w:sz w:val="16"/>
                <w:szCs w:val="16"/>
              </w:rPr>
            </w:pPr>
            <w:r w:rsidRPr="00E958DE">
              <w:rPr>
                <w:rFonts w:asciiTheme="majorBidi" w:hAnsiTheme="majorBidi" w:cstheme="majorBidi"/>
                <w:sz w:val="16"/>
                <w:szCs w:val="16"/>
              </w:rPr>
              <w:t>Wholesale and retail trade and repair of motor vehicles and motorcycles</w:t>
            </w:r>
          </w:p>
        </w:tc>
        <w:tc>
          <w:tcPr>
            <w:tcW w:w="1123" w:type="pct"/>
            <w:tcBorders>
              <w:top w:val="nil"/>
              <w:left w:val="single" w:sz="4" w:space="0" w:color="auto"/>
              <w:bottom w:val="single" w:sz="4" w:space="0" w:color="auto"/>
              <w:right w:val="single" w:sz="4" w:space="0" w:color="auto"/>
            </w:tcBorders>
          </w:tcPr>
          <w:p w14:paraId="60F41444" w14:textId="77777777" w:rsidR="00E958DE" w:rsidRPr="00656665" w:rsidRDefault="00E958DE" w:rsidP="00E958DE">
            <w:pPr>
              <w:bidi w:val="0"/>
              <w:jc w:val="center"/>
              <w:outlineLvl w:val="1"/>
              <w:rPr>
                <w:rFonts w:asciiTheme="majorBidi" w:hAnsiTheme="majorBidi" w:cstheme="majorBidi"/>
                <w:sz w:val="16"/>
                <w:szCs w:val="16"/>
              </w:rPr>
            </w:pPr>
            <w:r w:rsidRPr="00656665">
              <w:rPr>
                <w:rFonts w:asciiTheme="majorBidi" w:hAnsiTheme="majorBidi" w:cstheme="majorBidi"/>
                <w:sz w:val="16"/>
                <w:szCs w:val="16"/>
              </w:rPr>
              <w:t>+1.49%</w:t>
            </w:r>
          </w:p>
        </w:tc>
      </w:tr>
    </w:tbl>
    <w:p w14:paraId="50456D7B" w14:textId="77777777" w:rsidR="00656665" w:rsidRDefault="00656665" w:rsidP="003D7D83">
      <w:pPr>
        <w:bidi w:val="0"/>
        <w:jc w:val="center"/>
        <w:rPr>
          <w:rFonts w:cs="Times New Roman"/>
          <w:b/>
          <w:bCs/>
        </w:rPr>
      </w:pPr>
    </w:p>
    <w:p w14:paraId="217741B7" w14:textId="4C400D27" w:rsidR="003D7D83" w:rsidRPr="00B343CC" w:rsidRDefault="003D7D83" w:rsidP="00656665">
      <w:pPr>
        <w:bidi w:val="0"/>
        <w:jc w:val="center"/>
        <w:rPr>
          <w:rFonts w:cs="Times New Roman"/>
          <w:b/>
          <w:bCs/>
        </w:rPr>
      </w:pPr>
      <w:r w:rsidRPr="00B343CC">
        <w:rPr>
          <w:rFonts w:cs="Times New Roman"/>
          <w:b/>
          <w:bCs/>
        </w:rPr>
        <w:t>Yearly Percentage Changes in the Wholesale Price Index in Palestine for 2011 – 2024</w:t>
      </w:r>
    </w:p>
    <w:p w14:paraId="7720CD96" w14:textId="77777777" w:rsidR="003D7D83" w:rsidRPr="00B343CC" w:rsidRDefault="003D7D83" w:rsidP="003D7D83">
      <w:pPr>
        <w:bidi w:val="0"/>
        <w:jc w:val="center"/>
        <w:rPr>
          <w:rFonts w:cs="Times New Roman"/>
          <w:b/>
          <w:bCs/>
        </w:rPr>
      </w:pPr>
      <w:r w:rsidRPr="00B343CC">
        <w:rPr>
          <w:rFonts w:cs="Times New Roman"/>
          <w:b/>
          <w:bCs/>
          <w:rtl/>
        </w:rPr>
        <w:drawing>
          <wp:inline distT="0" distB="0" distL="0" distR="0" wp14:anchorId="1A59A6D5" wp14:editId="531C7DC5">
            <wp:extent cx="4624816" cy="2524539"/>
            <wp:effectExtent l="0" t="0" r="4445" b="9525"/>
            <wp:docPr id="6"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07BF7F7" w14:textId="77777777" w:rsidR="003D7D83" w:rsidRPr="00B343CC" w:rsidRDefault="003D7D83" w:rsidP="003D7D83">
      <w:pPr>
        <w:bidi w:val="0"/>
        <w:rPr>
          <w:rFonts w:cs="Times New Roman"/>
          <w:b/>
          <w:bCs/>
          <w:snapToGrid w:val="0"/>
        </w:rPr>
      </w:pPr>
    </w:p>
    <w:p w14:paraId="6EE49DF6" w14:textId="77777777" w:rsidR="003D7D83" w:rsidRPr="00B343CC" w:rsidRDefault="003D7D83" w:rsidP="003D7D83">
      <w:pPr>
        <w:pStyle w:val="BodyText2"/>
        <w:jc w:val="center"/>
        <w:outlineLvl w:val="0"/>
        <w:rPr>
          <w:sz w:val="20"/>
          <w:szCs w:val="20"/>
        </w:rPr>
      </w:pPr>
      <w:r w:rsidRPr="00B343CC">
        <w:rPr>
          <w:snapToGrid w:val="0"/>
          <w:sz w:val="20"/>
          <w:szCs w:val="20"/>
        </w:rPr>
        <w:t>The Trend Line of</w:t>
      </w:r>
      <w:r w:rsidRPr="00B343CC">
        <w:rPr>
          <w:sz w:val="20"/>
          <w:szCs w:val="20"/>
        </w:rPr>
        <w:t xml:space="preserve"> Wholesale Price Index Numbers in Palestine for the</w:t>
      </w:r>
      <w:r w:rsidRPr="00B343CC">
        <w:rPr>
          <w:snapToGrid w:val="0"/>
          <w:sz w:val="20"/>
          <w:szCs w:val="20"/>
        </w:rPr>
        <w:t xml:space="preserve"> Period:</w:t>
      </w:r>
      <w:r w:rsidRPr="00B343CC">
        <w:rPr>
          <w:kern w:val="36"/>
          <w:sz w:val="20"/>
          <w:szCs w:val="20"/>
        </w:rPr>
        <w:t xml:space="preserve"> Fourth </w:t>
      </w:r>
      <w:r w:rsidRPr="00B343CC">
        <w:rPr>
          <w:sz w:val="20"/>
          <w:szCs w:val="20"/>
        </w:rPr>
        <w:t xml:space="preserve">Quarter 2021 – </w:t>
      </w:r>
      <w:r w:rsidRPr="00B343CC">
        <w:rPr>
          <w:kern w:val="36"/>
          <w:sz w:val="20"/>
          <w:szCs w:val="20"/>
        </w:rPr>
        <w:t xml:space="preserve">Fourth </w:t>
      </w:r>
      <w:r w:rsidRPr="00B343CC">
        <w:rPr>
          <w:sz w:val="20"/>
          <w:szCs w:val="20"/>
        </w:rPr>
        <w:t>Quarter 2024</w:t>
      </w:r>
    </w:p>
    <w:p w14:paraId="538CE166" w14:textId="77777777" w:rsidR="003D7D83" w:rsidRPr="00B343CC" w:rsidRDefault="003D7D83" w:rsidP="003D7D83">
      <w:pPr>
        <w:tabs>
          <w:tab w:val="center" w:pos="3685"/>
          <w:tab w:val="left" w:pos="5865"/>
        </w:tabs>
        <w:bidi w:val="0"/>
        <w:rPr>
          <w:rFonts w:cs="Times New Roman"/>
          <w:sz w:val="16"/>
          <w:szCs w:val="16"/>
        </w:rPr>
      </w:pPr>
      <w:r w:rsidRPr="00B343CC">
        <w:rPr>
          <w:rFonts w:cs="Times New Roman"/>
          <w:sz w:val="16"/>
          <w:szCs w:val="16"/>
        </w:rPr>
        <w:t>(Base year 2021 = 100)</w:t>
      </w:r>
    </w:p>
    <w:p w14:paraId="5EAFE9C8" w14:textId="77777777" w:rsidR="003D7D83" w:rsidRPr="00B343CC" w:rsidRDefault="003D7D83" w:rsidP="003D7D83">
      <w:pPr>
        <w:bidi w:val="0"/>
        <w:jc w:val="center"/>
        <w:rPr>
          <w:rFonts w:cs="Times New Roman"/>
          <w:b/>
          <w:bCs/>
        </w:rPr>
      </w:pPr>
      <w:r w:rsidRPr="00B343CC">
        <w:rPr>
          <w:rFonts w:cs="Times New Roman"/>
          <w:b/>
          <w:bCs/>
        </w:rPr>
        <w:drawing>
          <wp:inline distT="0" distB="0" distL="0" distR="0" wp14:anchorId="546C37DC" wp14:editId="4144097F">
            <wp:extent cx="4660265" cy="2321456"/>
            <wp:effectExtent l="0" t="0" r="6985" b="3175"/>
            <wp:docPr id="12"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1DA894CB" w14:textId="77777777" w:rsidR="003D7D83" w:rsidRPr="00B343CC" w:rsidRDefault="003D7D83" w:rsidP="003D7D83">
      <w:pPr>
        <w:bidi w:val="0"/>
        <w:rPr>
          <w:rFonts w:cs="Times New Roman"/>
          <w:b/>
          <w:bCs/>
          <w:rtl/>
        </w:rPr>
      </w:pPr>
    </w:p>
    <w:p w14:paraId="315D4FDC" w14:textId="77777777" w:rsidR="00E958DE" w:rsidRPr="00927676" w:rsidRDefault="00E958DE" w:rsidP="00E958DE">
      <w:pPr>
        <w:bidi w:val="0"/>
        <w:rPr>
          <w:rFonts w:cs="Times New Roman"/>
          <w:b/>
          <w:bCs/>
          <w:rtl/>
        </w:rPr>
      </w:pPr>
      <w:r w:rsidRPr="00927676">
        <w:rPr>
          <w:rFonts w:cs="Times New Roman"/>
          <w:b/>
          <w:bCs/>
        </w:rPr>
        <w:lastRenderedPageBreak/>
        <w:t>Industrial Production Index:</w:t>
      </w:r>
    </w:p>
    <w:p w14:paraId="63CD7BC5" w14:textId="77777777" w:rsidR="00E958DE" w:rsidRPr="00927676" w:rsidRDefault="00E958DE" w:rsidP="00E958DE">
      <w:pPr>
        <w:pStyle w:val="ListParagraph"/>
        <w:numPr>
          <w:ilvl w:val="0"/>
          <w:numId w:val="3"/>
        </w:numPr>
        <w:bidi w:val="0"/>
        <w:contextualSpacing/>
        <w:jc w:val="both"/>
        <w:outlineLvl w:val="0"/>
        <w:rPr>
          <w:rFonts w:cs="Times New Roman"/>
          <w:lang w:eastAsia="ar-SA"/>
        </w:rPr>
      </w:pPr>
      <w:r w:rsidRPr="00927676">
        <w:rPr>
          <w:rFonts w:asciiTheme="majorBidi" w:hAnsiTheme="majorBidi" w:cstheme="majorBidi"/>
          <w:sz w:val="19"/>
          <w:szCs w:val="19"/>
        </w:rPr>
        <w:t>The overall IPI in Palestine</w:t>
      </w:r>
      <w:r>
        <w:rPr>
          <w:rFonts w:asciiTheme="majorBidi" w:hAnsiTheme="majorBidi" w:cstheme="majorBidi"/>
          <w:sz w:val="19"/>
          <w:szCs w:val="19"/>
        </w:rPr>
        <w:t>,</w:t>
      </w:r>
      <w:r w:rsidRPr="00927676">
        <w:rPr>
          <w:rFonts w:asciiTheme="majorBidi" w:hAnsiTheme="majorBidi" w:cstheme="majorBidi"/>
          <w:sz w:val="19"/>
          <w:szCs w:val="19"/>
        </w:rPr>
        <w:t xml:space="preserve"> with its Base Year (2019 = 100)</w:t>
      </w:r>
      <w:r>
        <w:rPr>
          <w:rFonts w:asciiTheme="majorBidi" w:hAnsiTheme="majorBidi" w:cstheme="majorBidi"/>
          <w:sz w:val="19"/>
          <w:szCs w:val="19"/>
        </w:rPr>
        <w:t>,</w:t>
      </w:r>
      <w:r w:rsidRPr="00927676">
        <w:rPr>
          <w:rFonts w:asciiTheme="majorBidi" w:hAnsiTheme="majorBidi" w:cstheme="majorBidi"/>
          <w:sz w:val="19"/>
          <w:szCs w:val="19"/>
        </w:rPr>
        <w:t xml:space="preserve"> reached 80.01 in 2024, indicat</w:t>
      </w:r>
      <w:r>
        <w:rPr>
          <w:rFonts w:asciiTheme="majorBidi" w:hAnsiTheme="majorBidi" w:cstheme="majorBidi"/>
          <w:sz w:val="19"/>
          <w:szCs w:val="19"/>
        </w:rPr>
        <w:t>ing</w:t>
      </w:r>
      <w:r w:rsidRPr="00927676">
        <w:rPr>
          <w:rFonts w:asciiTheme="majorBidi" w:hAnsiTheme="majorBidi" w:cstheme="majorBidi"/>
          <w:sz w:val="19"/>
          <w:szCs w:val="19"/>
        </w:rPr>
        <w:t xml:space="preserve"> a sharp decrease </w:t>
      </w:r>
      <w:r>
        <w:rPr>
          <w:rFonts w:asciiTheme="majorBidi" w:hAnsiTheme="majorBidi" w:cstheme="majorBidi"/>
          <w:sz w:val="19"/>
          <w:szCs w:val="19"/>
        </w:rPr>
        <w:t>of</w:t>
      </w:r>
      <w:r w:rsidRPr="00927676">
        <w:rPr>
          <w:rFonts w:asciiTheme="majorBidi" w:hAnsiTheme="majorBidi" w:cstheme="majorBidi"/>
          <w:sz w:val="19"/>
          <w:szCs w:val="19"/>
        </w:rPr>
        <w:t xml:space="preserve"> 19.84% compared to 2023.</w:t>
      </w:r>
    </w:p>
    <w:p w14:paraId="5D120E08" w14:textId="77777777" w:rsidR="00E958DE" w:rsidRPr="00927676" w:rsidRDefault="00E958DE" w:rsidP="00E958DE">
      <w:pPr>
        <w:pStyle w:val="ListParagraph"/>
        <w:numPr>
          <w:ilvl w:val="0"/>
          <w:numId w:val="3"/>
        </w:numPr>
        <w:bidi w:val="0"/>
        <w:contextualSpacing/>
        <w:jc w:val="both"/>
        <w:outlineLvl w:val="0"/>
        <w:rPr>
          <w:rFonts w:cs="Times New Roman"/>
          <w:lang w:eastAsia="ar-SA"/>
        </w:rPr>
      </w:pPr>
      <w:r w:rsidRPr="00927676">
        <w:rPr>
          <w:rFonts w:asciiTheme="majorBidi" w:hAnsiTheme="majorBidi" w:cstheme="majorBidi"/>
          <w:sz w:val="19"/>
          <w:szCs w:val="19"/>
        </w:rPr>
        <w:t>IPI for 2024 sharply decreased due to the sharp decrease in manufacturing industry</w:t>
      </w:r>
      <w:r>
        <w:rPr>
          <w:rFonts w:asciiTheme="majorBidi" w:hAnsiTheme="majorBidi" w:cstheme="majorBidi"/>
          <w:sz w:val="19"/>
          <w:szCs w:val="19"/>
        </w:rPr>
        <w:t xml:space="preserve"> </w:t>
      </w:r>
      <w:r w:rsidRPr="00927676">
        <w:rPr>
          <w:rFonts w:asciiTheme="majorBidi" w:hAnsiTheme="majorBidi" w:cstheme="majorBidi"/>
          <w:sz w:val="19"/>
          <w:szCs w:val="19"/>
        </w:rPr>
        <w:t>activities by 21.77%, the activities of electricity, gas, steam</w:t>
      </w:r>
      <w:r>
        <w:rPr>
          <w:rFonts w:asciiTheme="majorBidi" w:hAnsiTheme="majorBidi" w:cstheme="majorBidi"/>
          <w:sz w:val="19"/>
          <w:szCs w:val="19"/>
        </w:rPr>
        <w:t>,</w:t>
      </w:r>
      <w:r w:rsidRPr="00927676">
        <w:rPr>
          <w:rFonts w:asciiTheme="majorBidi" w:hAnsiTheme="majorBidi" w:cstheme="majorBidi"/>
          <w:sz w:val="19"/>
          <w:szCs w:val="19"/>
        </w:rPr>
        <w:t xml:space="preserve"> and air conditioning supply by 11.22%, and the activities of mining and quarrying by 4.91%</w:t>
      </w:r>
      <w:r>
        <w:rPr>
          <w:rFonts w:asciiTheme="majorBidi" w:hAnsiTheme="majorBidi" w:cstheme="majorBidi"/>
          <w:sz w:val="19"/>
          <w:szCs w:val="19"/>
        </w:rPr>
        <w:t>,</w:t>
      </w:r>
      <w:r w:rsidRPr="00927676">
        <w:rPr>
          <w:rFonts w:asciiTheme="majorBidi" w:hAnsiTheme="majorBidi" w:cstheme="majorBidi"/>
          <w:sz w:val="19"/>
          <w:szCs w:val="19"/>
        </w:rPr>
        <w:t xml:space="preserve"> </w:t>
      </w:r>
      <w:r>
        <w:rPr>
          <w:rFonts w:asciiTheme="majorBidi" w:hAnsiTheme="majorBidi" w:cstheme="majorBidi"/>
          <w:sz w:val="19"/>
          <w:szCs w:val="19"/>
        </w:rPr>
        <w:t>w</w:t>
      </w:r>
      <w:r w:rsidRPr="00927676">
        <w:rPr>
          <w:rFonts w:asciiTheme="majorBidi" w:hAnsiTheme="majorBidi" w:cstheme="majorBidi"/>
          <w:sz w:val="19"/>
          <w:szCs w:val="19"/>
        </w:rPr>
        <w:t>hile the activities of water supply, sewerage, waste management</w:t>
      </w:r>
      <w:r>
        <w:rPr>
          <w:rFonts w:asciiTheme="majorBidi" w:hAnsiTheme="majorBidi" w:cstheme="majorBidi"/>
          <w:sz w:val="19"/>
          <w:szCs w:val="19"/>
        </w:rPr>
        <w:t>,</w:t>
      </w:r>
      <w:r w:rsidRPr="00927676">
        <w:rPr>
          <w:rFonts w:asciiTheme="majorBidi" w:hAnsiTheme="majorBidi" w:cstheme="majorBidi"/>
          <w:sz w:val="19"/>
          <w:szCs w:val="19"/>
        </w:rPr>
        <w:t xml:space="preserve"> and remediation increased by 2.61%.</w:t>
      </w:r>
    </w:p>
    <w:p w14:paraId="55FAE7A8" w14:textId="77777777" w:rsidR="003D7D83" w:rsidRPr="00B343CC" w:rsidRDefault="003D7D83" w:rsidP="003D7D83">
      <w:pPr>
        <w:bidi w:val="0"/>
        <w:jc w:val="center"/>
        <w:rPr>
          <w:rFonts w:cs="Times New Roman"/>
          <w:noProof w:val="0"/>
          <w:lang w:eastAsia="ar-SA"/>
        </w:rPr>
      </w:pPr>
    </w:p>
    <w:p w14:paraId="15960A01" w14:textId="77777777" w:rsidR="003D7D83" w:rsidRPr="00B343CC" w:rsidRDefault="003D7D83" w:rsidP="003D7D83">
      <w:pPr>
        <w:bidi w:val="0"/>
        <w:jc w:val="center"/>
        <w:rPr>
          <w:rFonts w:cs="Times New Roman"/>
          <w:noProof w:val="0"/>
          <w:lang w:eastAsia="ar-SA"/>
        </w:rPr>
      </w:pPr>
    </w:p>
    <w:p w14:paraId="380A770B" w14:textId="77777777" w:rsidR="003D7D83" w:rsidRPr="00B343CC" w:rsidRDefault="003D7D83" w:rsidP="003D7D83">
      <w:pPr>
        <w:bidi w:val="0"/>
        <w:jc w:val="center"/>
        <w:rPr>
          <w:rFonts w:cs="Times New Roman"/>
          <w:b/>
          <w:bCs/>
        </w:rPr>
      </w:pPr>
      <w:r w:rsidRPr="00B343CC">
        <w:rPr>
          <w:rFonts w:cs="Times New Roman"/>
          <w:b/>
          <w:bCs/>
        </w:rPr>
        <w:t>Yearly Percentage Changes in the Industrial Production Index in Palestine</w:t>
      </w:r>
    </w:p>
    <w:p w14:paraId="0485C10F" w14:textId="77777777" w:rsidR="003D7D83" w:rsidRPr="00B343CC" w:rsidRDefault="003D7D83" w:rsidP="003D7D83">
      <w:pPr>
        <w:bidi w:val="0"/>
        <w:jc w:val="center"/>
        <w:rPr>
          <w:rFonts w:cs="Times New Roman"/>
          <w:b/>
          <w:bCs/>
          <w:rtl/>
        </w:rPr>
      </w:pPr>
      <w:r w:rsidRPr="00B343CC">
        <w:rPr>
          <w:rFonts w:cs="Times New Roman"/>
          <w:b/>
          <w:bCs/>
        </w:rPr>
        <w:t xml:space="preserve"> for 2013 – 2024</w:t>
      </w:r>
    </w:p>
    <w:p w14:paraId="1A4C0AAF" w14:textId="77777777" w:rsidR="003D7D83" w:rsidRPr="00B343CC" w:rsidRDefault="003D7D83" w:rsidP="003D7D83">
      <w:pPr>
        <w:pStyle w:val="Header"/>
        <w:tabs>
          <w:tab w:val="left" w:pos="5925"/>
        </w:tabs>
        <w:bidi w:val="0"/>
        <w:jc w:val="center"/>
        <w:rPr>
          <w:rFonts w:cs="Times New Roman"/>
          <w:b/>
          <w:bCs/>
          <w:rtl/>
        </w:rPr>
      </w:pPr>
      <w:r w:rsidRPr="00B343CC">
        <w:rPr>
          <w:rFonts w:cs="Times New Roman"/>
          <w:b/>
          <w:bCs/>
          <w:rtl/>
        </w:rPr>
        <w:drawing>
          <wp:inline distT="0" distB="0" distL="0" distR="0" wp14:anchorId="7DA3AF4D" wp14:editId="2AB2C614">
            <wp:extent cx="4629206" cy="2250219"/>
            <wp:effectExtent l="0" t="0" r="0" b="17145"/>
            <wp:docPr id="11"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24291D2" w14:textId="77777777" w:rsidR="003D7D83" w:rsidRPr="00B343CC" w:rsidRDefault="003D7D83" w:rsidP="003D7D83">
      <w:pPr>
        <w:bidi w:val="0"/>
        <w:rPr>
          <w:rFonts w:cs="Times New Roman"/>
          <w:b/>
          <w:bCs/>
          <w:snapToGrid w:val="0"/>
        </w:rPr>
      </w:pPr>
    </w:p>
    <w:p w14:paraId="7EE1129B" w14:textId="77777777" w:rsidR="003D7D83" w:rsidRPr="00B343CC" w:rsidRDefault="003D7D83" w:rsidP="003D7D83">
      <w:pPr>
        <w:pStyle w:val="BodyText2"/>
        <w:bidi/>
        <w:jc w:val="center"/>
        <w:rPr>
          <w:sz w:val="20"/>
          <w:szCs w:val="20"/>
        </w:rPr>
      </w:pPr>
      <w:r w:rsidRPr="00B343CC">
        <w:rPr>
          <w:snapToGrid w:val="0"/>
          <w:sz w:val="20"/>
          <w:szCs w:val="20"/>
        </w:rPr>
        <w:t>The Trend Line of</w:t>
      </w:r>
      <w:r w:rsidRPr="00B343CC">
        <w:rPr>
          <w:sz w:val="20"/>
          <w:szCs w:val="20"/>
        </w:rPr>
        <w:t xml:space="preserve"> Industrial Production Index Numbers in Palestine </w:t>
      </w:r>
    </w:p>
    <w:p w14:paraId="1B93C51D" w14:textId="77777777" w:rsidR="003D7D83" w:rsidRPr="00B343CC" w:rsidRDefault="003D7D83" w:rsidP="003D7D83">
      <w:pPr>
        <w:pStyle w:val="BodyText2"/>
        <w:jc w:val="center"/>
        <w:rPr>
          <w:sz w:val="20"/>
          <w:szCs w:val="20"/>
          <w:rtl/>
        </w:rPr>
      </w:pPr>
      <w:r w:rsidRPr="00B343CC">
        <w:rPr>
          <w:sz w:val="20"/>
          <w:szCs w:val="20"/>
        </w:rPr>
        <w:t>for: January – December 2024</w:t>
      </w:r>
      <w:r w:rsidRPr="00B343CC">
        <w:rPr>
          <w:sz w:val="20"/>
          <w:szCs w:val="20"/>
          <w:rtl/>
        </w:rPr>
        <w:t xml:space="preserve"> </w:t>
      </w:r>
    </w:p>
    <w:p w14:paraId="0EFDA64E" w14:textId="77777777" w:rsidR="003D7D83" w:rsidRPr="00B343CC" w:rsidRDefault="003D7D83" w:rsidP="003D7D83">
      <w:pPr>
        <w:tabs>
          <w:tab w:val="right" w:pos="142"/>
          <w:tab w:val="right" w:pos="8931"/>
        </w:tabs>
        <w:bidi w:val="0"/>
        <w:rPr>
          <w:rFonts w:cs="Times New Roman"/>
          <w:sz w:val="16"/>
          <w:szCs w:val="16"/>
        </w:rPr>
      </w:pPr>
      <w:r w:rsidRPr="00B343CC">
        <w:rPr>
          <w:rFonts w:cs="Times New Roman"/>
          <w:sz w:val="16"/>
          <w:szCs w:val="16"/>
        </w:rPr>
        <w:t>Base Year (2019 = 100)</w:t>
      </w:r>
    </w:p>
    <w:p w14:paraId="33E1BDBA" w14:textId="77777777" w:rsidR="003D7D83" w:rsidRPr="00B343CC" w:rsidRDefault="003D7D83" w:rsidP="003D7D83">
      <w:pPr>
        <w:tabs>
          <w:tab w:val="right" w:pos="142"/>
          <w:tab w:val="right" w:pos="8931"/>
        </w:tabs>
        <w:bidi w:val="0"/>
        <w:rPr>
          <w:rFonts w:cs="Times New Roman"/>
          <w:sz w:val="16"/>
          <w:szCs w:val="16"/>
        </w:rPr>
      </w:pPr>
      <w:r w:rsidRPr="00B343CC">
        <w:rPr>
          <w:rFonts w:cs="Times New Roman"/>
          <w:b/>
          <w:bCs/>
        </w:rPr>
        <w:drawing>
          <wp:inline distT="0" distB="0" distL="0" distR="0" wp14:anchorId="27E045B3" wp14:editId="471CF6E0">
            <wp:extent cx="4680585" cy="2306320"/>
            <wp:effectExtent l="0" t="0" r="5715" b="1778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DAFB3C3" w14:textId="77777777" w:rsidR="009C5546" w:rsidRPr="00B343CC" w:rsidRDefault="009C5546" w:rsidP="009C5546">
      <w:pPr>
        <w:bidi w:val="0"/>
        <w:rPr>
          <w:rFonts w:cs="Times New Roman"/>
          <w:b/>
          <w:bCs/>
          <w:szCs w:val="16"/>
        </w:rPr>
      </w:pPr>
    </w:p>
    <w:p w14:paraId="2A72E3D3" w14:textId="77777777" w:rsidR="00E958DE" w:rsidRDefault="00E958DE">
      <w:pPr>
        <w:bidi w:val="0"/>
        <w:rPr>
          <w:rFonts w:cs="Times New Roman"/>
          <w:b/>
          <w:bCs/>
          <w:szCs w:val="16"/>
        </w:rPr>
      </w:pPr>
      <w:r>
        <w:rPr>
          <w:rFonts w:cs="Times New Roman"/>
          <w:b/>
          <w:bCs/>
          <w:szCs w:val="16"/>
        </w:rPr>
        <w:br w:type="page"/>
      </w:r>
    </w:p>
    <w:p w14:paraId="65BE9B9A" w14:textId="77777777" w:rsidR="00E958DE" w:rsidRPr="00927676" w:rsidRDefault="00E958DE" w:rsidP="00E958DE">
      <w:pPr>
        <w:pStyle w:val="ListParagraph"/>
        <w:numPr>
          <w:ilvl w:val="1"/>
          <w:numId w:val="18"/>
        </w:numPr>
        <w:bidi w:val="0"/>
        <w:ind w:left="426" w:hanging="426"/>
        <w:rPr>
          <w:rFonts w:cs="Times New Roman"/>
          <w:b/>
          <w:bCs/>
          <w:sz w:val="20"/>
          <w:szCs w:val="16"/>
        </w:rPr>
      </w:pPr>
      <w:r w:rsidRPr="00927676">
        <w:rPr>
          <w:rFonts w:cs="Times New Roman"/>
          <w:b/>
          <w:bCs/>
          <w:sz w:val="20"/>
          <w:szCs w:val="16"/>
        </w:rPr>
        <w:lastRenderedPageBreak/>
        <w:t>Business Statistic</w:t>
      </w:r>
      <w:r w:rsidRPr="00927676">
        <w:rPr>
          <w:rFonts w:cs="Times New Roman"/>
          <w:b/>
          <w:bCs/>
          <w:sz w:val="20"/>
          <w:szCs w:val="16"/>
          <w:rtl/>
        </w:rPr>
        <w:t xml:space="preserve"> </w:t>
      </w:r>
    </w:p>
    <w:p w14:paraId="5C6443AD" w14:textId="77777777" w:rsidR="00E958DE" w:rsidRPr="00927676" w:rsidRDefault="00E958DE" w:rsidP="00E958DE">
      <w:pPr>
        <w:bidi w:val="0"/>
        <w:rPr>
          <w:rFonts w:cs="Times New Roman"/>
          <w:b/>
          <w:bCs/>
        </w:rPr>
      </w:pPr>
      <w:r w:rsidRPr="00927676">
        <w:rPr>
          <w:rFonts w:cs="Times New Roman"/>
          <w:b/>
          <w:bCs/>
        </w:rPr>
        <w:t>3.2.1 Construction</w:t>
      </w:r>
    </w:p>
    <w:p w14:paraId="0D8530CC"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There were 3,070 employed persons in the construction activity in 2024. The value of the enterprises output in the construction activity was USD 142.6 million</w:t>
      </w:r>
      <w:r>
        <w:rPr>
          <w:rFonts w:asciiTheme="majorBidi" w:hAnsiTheme="majorBidi" w:cstheme="majorBidi"/>
          <w:sz w:val="19"/>
          <w:szCs w:val="19"/>
        </w:rPr>
        <w:t>,</w:t>
      </w:r>
      <w:r w:rsidRPr="00927676">
        <w:rPr>
          <w:rFonts w:asciiTheme="majorBidi" w:hAnsiTheme="majorBidi" w:cstheme="majorBidi"/>
          <w:sz w:val="19"/>
          <w:szCs w:val="19"/>
        </w:rPr>
        <w:t xml:space="preserve"> intermediate consumption totaled USD 65.3 million</w:t>
      </w:r>
      <w:r>
        <w:rPr>
          <w:rFonts w:asciiTheme="majorBidi" w:hAnsiTheme="majorBidi" w:cstheme="majorBidi"/>
          <w:sz w:val="19"/>
          <w:szCs w:val="19"/>
        </w:rPr>
        <w:t>,</w:t>
      </w:r>
      <w:r w:rsidRPr="00927676">
        <w:rPr>
          <w:rFonts w:asciiTheme="majorBidi" w:hAnsiTheme="majorBidi" w:cstheme="majorBidi"/>
          <w:sz w:val="19"/>
          <w:szCs w:val="19"/>
        </w:rPr>
        <w:t xml:space="preserve"> and the value added was USD 77.3 million in 2024.</w:t>
      </w:r>
    </w:p>
    <w:p w14:paraId="49ADB9A2" w14:textId="77777777" w:rsidR="00E958DE" w:rsidRPr="00927676" w:rsidRDefault="00E958DE" w:rsidP="00E958DE">
      <w:pPr>
        <w:pStyle w:val="ListParagraph"/>
        <w:bidi w:val="0"/>
        <w:ind w:left="0"/>
        <w:rPr>
          <w:rFonts w:cs="Times New Roman"/>
          <w:sz w:val="20"/>
          <w:u w:val="single"/>
        </w:rPr>
      </w:pPr>
    </w:p>
    <w:p w14:paraId="28B7462F" w14:textId="77777777" w:rsidR="00E958DE" w:rsidRPr="00927676" w:rsidRDefault="00E958DE" w:rsidP="00E958DE">
      <w:pPr>
        <w:pStyle w:val="BodyText3"/>
        <w:ind w:right="57"/>
        <w:jc w:val="left"/>
        <w:rPr>
          <w:rFonts w:cs="Times New Roman"/>
          <w:sz w:val="20"/>
          <w:lang w:bidi="ar-AE"/>
        </w:rPr>
      </w:pPr>
      <w:r w:rsidRPr="00927676">
        <w:rPr>
          <w:rFonts w:cs="Times New Roman"/>
          <w:sz w:val="20"/>
          <w:lang w:bidi="ar-AE"/>
        </w:rPr>
        <w:t>Building Licenses:</w:t>
      </w:r>
    </w:p>
    <w:p w14:paraId="1A0C33BF"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A total of 7,049</w:t>
      </w:r>
      <w:r w:rsidRPr="00927676">
        <w:rPr>
          <w:rFonts w:ascii="Simplified Arabic" w:hAnsi="Simplified Arabic"/>
          <w:b/>
          <w:bCs/>
          <w:sz w:val="20"/>
        </w:rPr>
        <w:t xml:space="preserve"> </w:t>
      </w:r>
      <w:r w:rsidRPr="00927676">
        <w:rPr>
          <w:rFonts w:asciiTheme="majorBidi" w:hAnsiTheme="majorBidi" w:cstheme="majorBidi"/>
          <w:sz w:val="19"/>
          <w:szCs w:val="19"/>
        </w:rPr>
        <w:t>building licenses were issued in 2024, where the area of licensed buildings (residential and non-residential) totaled 3,606 (1000 m</w:t>
      </w:r>
      <w:r w:rsidRPr="00927676">
        <w:rPr>
          <w:rFonts w:asciiTheme="majorBidi" w:hAnsiTheme="majorBidi" w:cstheme="majorBidi"/>
          <w:sz w:val="19"/>
          <w:szCs w:val="19"/>
          <w:vertAlign w:val="superscript"/>
        </w:rPr>
        <w:t>2</w:t>
      </w:r>
      <w:r w:rsidRPr="00927676">
        <w:rPr>
          <w:rFonts w:asciiTheme="majorBidi" w:hAnsiTheme="majorBidi" w:cstheme="majorBidi"/>
          <w:sz w:val="19"/>
          <w:szCs w:val="19"/>
        </w:rPr>
        <w:t xml:space="preserve">). </w:t>
      </w:r>
    </w:p>
    <w:p w14:paraId="6129E27A"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total number of building licenses issued in 2024 decreased by 27% compared with 2023, where the number of new dwellings in 2024 decreased by 27% compared with 2023.</w:t>
      </w:r>
    </w:p>
    <w:p w14:paraId="1EE25616" w14:textId="77777777" w:rsidR="00E958DE" w:rsidRPr="00927676" w:rsidRDefault="00E958DE" w:rsidP="00E958DE">
      <w:pPr>
        <w:bidi w:val="0"/>
        <w:rPr>
          <w:rFonts w:cs="Times New Roman"/>
          <w:b/>
          <w:bCs/>
        </w:rPr>
      </w:pPr>
      <w:r w:rsidRPr="00927676">
        <w:rPr>
          <w:rFonts w:cs="Times New Roman"/>
          <w:b/>
          <w:bCs/>
        </w:rPr>
        <w:t>3.2.2 Industrial Sector</w:t>
      </w:r>
    </w:p>
    <w:p w14:paraId="6C0D55D1"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There were 73,783 employed persons in the industrial activity in 2024, and the value of the enterprises output in industrial activities was USD 3,934.2 million, intermediate consumption totaled USD 2,135.9 million, and the value added was USD 1,798.3 million in 2024.</w:t>
      </w:r>
    </w:p>
    <w:p w14:paraId="56A22C3C" w14:textId="77777777" w:rsidR="00E958DE" w:rsidRPr="00927676" w:rsidRDefault="00E958DE" w:rsidP="00E958DE">
      <w:pPr>
        <w:pStyle w:val="ListParagraph"/>
        <w:bidi w:val="0"/>
        <w:rPr>
          <w:rFonts w:cs="Times New Roman"/>
          <w:b/>
          <w:bCs/>
          <w:sz w:val="20"/>
        </w:rPr>
      </w:pPr>
    </w:p>
    <w:p w14:paraId="2687D6A3" w14:textId="77777777" w:rsidR="00E958DE" w:rsidRPr="00927676" w:rsidRDefault="00E958DE" w:rsidP="00E958DE">
      <w:pPr>
        <w:bidi w:val="0"/>
        <w:rPr>
          <w:rFonts w:cs="Times New Roman"/>
          <w:b/>
          <w:bCs/>
        </w:rPr>
      </w:pPr>
      <w:r w:rsidRPr="00927676">
        <w:rPr>
          <w:rFonts w:cs="Times New Roman"/>
          <w:b/>
          <w:bCs/>
        </w:rPr>
        <w:t>3.2.3 Transportation</w:t>
      </w:r>
    </w:p>
    <w:p w14:paraId="4441E0B7"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There were 4,029</w:t>
      </w:r>
      <w:r w:rsidRPr="00927676">
        <w:rPr>
          <w:rFonts w:asciiTheme="majorBidi" w:hAnsiTheme="majorBidi" w:cstheme="majorBidi"/>
          <w:sz w:val="19"/>
          <w:szCs w:val="19"/>
          <w:rtl/>
        </w:rPr>
        <w:t xml:space="preserve"> </w:t>
      </w:r>
      <w:r w:rsidRPr="00927676">
        <w:rPr>
          <w:rFonts w:asciiTheme="majorBidi" w:hAnsiTheme="majorBidi" w:cstheme="majorBidi"/>
          <w:sz w:val="19"/>
          <w:szCs w:val="19"/>
        </w:rPr>
        <w:t>employed persons in the transport and storage activity in 2024, and the value of the enterprises output in transport and storage activities was USD 98.6 million</w:t>
      </w:r>
      <w:r>
        <w:rPr>
          <w:rFonts w:asciiTheme="majorBidi" w:hAnsiTheme="majorBidi" w:cstheme="majorBidi"/>
          <w:sz w:val="19"/>
          <w:szCs w:val="19"/>
        </w:rPr>
        <w:t>,</w:t>
      </w:r>
      <w:r w:rsidRPr="00927676">
        <w:rPr>
          <w:rFonts w:asciiTheme="majorBidi" w:hAnsiTheme="majorBidi" w:cstheme="majorBidi"/>
          <w:sz w:val="19"/>
          <w:szCs w:val="19"/>
        </w:rPr>
        <w:t xml:space="preserve"> intermediate consumption was USD 36.1 million</w:t>
      </w:r>
      <w:r>
        <w:rPr>
          <w:rFonts w:asciiTheme="majorBidi" w:hAnsiTheme="majorBidi" w:cstheme="majorBidi"/>
          <w:sz w:val="19"/>
          <w:szCs w:val="19"/>
        </w:rPr>
        <w:t>,</w:t>
      </w:r>
      <w:r w:rsidRPr="00927676">
        <w:rPr>
          <w:rFonts w:asciiTheme="majorBidi" w:hAnsiTheme="majorBidi" w:cstheme="majorBidi"/>
          <w:sz w:val="19"/>
          <w:szCs w:val="19"/>
        </w:rPr>
        <w:t xml:space="preserve"> and the value added was USD 62.5 million in 2024.</w:t>
      </w:r>
    </w:p>
    <w:p w14:paraId="2E569A7B" w14:textId="77777777" w:rsidR="00E958DE" w:rsidRPr="00927676" w:rsidRDefault="00E958DE" w:rsidP="00E958DE">
      <w:pPr>
        <w:pStyle w:val="ListParagraph"/>
        <w:bidi w:val="0"/>
        <w:ind w:left="567"/>
        <w:rPr>
          <w:rFonts w:cs="Times New Roman"/>
          <w:b/>
          <w:bCs/>
          <w:sz w:val="20"/>
        </w:rPr>
      </w:pPr>
    </w:p>
    <w:p w14:paraId="4B713DE5" w14:textId="77777777" w:rsidR="00E958DE" w:rsidRPr="00927676" w:rsidRDefault="00E958DE" w:rsidP="00E958DE">
      <w:pPr>
        <w:pStyle w:val="BodyText3"/>
        <w:ind w:right="57"/>
        <w:jc w:val="left"/>
        <w:rPr>
          <w:rFonts w:cs="Times New Roman"/>
          <w:sz w:val="20"/>
          <w:lang w:bidi="ar-AE"/>
        </w:rPr>
      </w:pPr>
      <w:r w:rsidRPr="00927676">
        <w:rPr>
          <w:rFonts w:cs="Times New Roman"/>
          <w:sz w:val="20"/>
          <w:lang w:bidi="ar-AE"/>
        </w:rPr>
        <w:t>Licensed Vehicles:</w:t>
      </w:r>
    </w:p>
    <w:p w14:paraId="52605288"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total number of licensed vehicles at the end of 2024 in the West Bank was 335,292 vehicles and the highest percentage of licensed vehicles was for private cars, which amounted to 85.9% of the total licensed vehicles in the West Bank, followed by trucks and commercial cars, which amounted</w:t>
      </w:r>
      <w:r>
        <w:rPr>
          <w:rFonts w:asciiTheme="majorBidi" w:hAnsiTheme="majorBidi" w:cstheme="majorBidi"/>
          <w:sz w:val="19"/>
          <w:szCs w:val="19"/>
        </w:rPr>
        <w:t xml:space="preserve"> to</w:t>
      </w:r>
      <w:r w:rsidRPr="00927676">
        <w:rPr>
          <w:rFonts w:asciiTheme="majorBidi" w:hAnsiTheme="majorBidi" w:cstheme="majorBidi"/>
          <w:sz w:val="19"/>
          <w:szCs w:val="19"/>
        </w:rPr>
        <w:t xml:space="preserve"> 8.3%, followed by taxis with 2.8%, while the remaining vehicles </w:t>
      </w:r>
      <w:r>
        <w:rPr>
          <w:rFonts w:asciiTheme="majorBidi" w:hAnsiTheme="majorBidi" w:cstheme="majorBidi"/>
          <w:sz w:val="19"/>
          <w:szCs w:val="19"/>
        </w:rPr>
        <w:t>reached</w:t>
      </w:r>
      <w:r w:rsidRPr="00927676">
        <w:rPr>
          <w:rFonts w:asciiTheme="majorBidi" w:hAnsiTheme="majorBidi" w:cstheme="majorBidi"/>
          <w:sz w:val="19"/>
          <w:szCs w:val="19"/>
        </w:rPr>
        <w:t xml:space="preserve"> 3.0%.</w:t>
      </w:r>
    </w:p>
    <w:p w14:paraId="544B0B2A" w14:textId="77777777" w:rsidR="00E958DE" w:rsidRPr="00927676" w:rsidRDefault="00E958DE" w:rsidP="00E958DE">
      <w:pPr>
        <w:pStyle w:val="Default"/>
        <w:jc w:val="both"/>
        <w:rPr>
          <w:rFonts w:ascii="Times New Roman" w:eastAsia="Times New Roman" w:hAnsi="Times New Roman" w:cs="Times New Roman"/>
          <w:color w:val="auto"/>
          <w:sz w:val="20"/>
          <w:szCs w:val="20"/>
          <w:lang w:eastAsia="ar-SA"/>
        </w:rPr>
      </w:pPr>
    </w:p>
    <w:p w14:paraId="5DF82957" w14:textId="77777777" w:rsidR="00E958DE" w:rsidRPr="00927676" w:rsidRDefault="00E958DE" w:rsidP="00E958DE">
      <w:pPr>
        <w:pStyle w:val="BodyText3"/>
        <w:ind w:right="57"/>
        <w:jc w:val="left"/>
        <w:rPr>
          <w:rFonts w:cs="Times New Roman"/>
          <w:sz w:val="20"/>
          <w:lang w:bidi="ar-AE"/>
        </w:rPr>
      </w:pPr>
      <w:r w:rsidRPr="00927676">
        <w:rPr>
          <w:rFonts w:cs="Times New Roman"/>
          <w:sz w:val="20"/>
          <w:lang w:bidi="ar-AE"/>
        </w:rPr>
        <w:t>New Registered Vehicles:</w:t>
      </w:r>
    </w:p>
    <w:p w14:paraId="1456DBB4"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The total number of new registered vehicles at the end of 2024 in the West Bank was 13,032 vehicles, and the highest percentage of registered vehicles was for private cars, which amounted to 74.8% of the total registered vehicles in the West Bank, followed by trucks and commercial cars, which amounted to 12.2%, followed by taxis with 2.9 %, while the remaining vehicles </w:t>
      </w:r>
      <w:r>
        <w:rPr>
          <w:rFonts w:asciiTheme="majorBidi" w:hAnsiTheme="majorBidi" w:cstheme="majorBidi"/>
          <w:sz w:val="19"/>
          <w:szCs w:val="19"/>
        </w:rPr>
        <w:t>reached</w:t>
      </w:r>
      <w:r w:rsidRPr="00927676">
        <w:rPr>
          <w:rFonts w:asciiTheme="majorBidi" w:hAnsiTheme="majorBidi" w:cstheme="majorBidi"/>
          <w:sz w:val="19"/>
          <w:szCs w:val="19"/>
        </w:rPr>
        <w:t xml:space="preserve"> 10.1%.</w:t>
      </w:r>
    </w:p>
    <w:p w14:paraId="63374DD9" w14:textId="77777777" w:rsidR="00E958DE" w:rsidRPr="00927676" w:rsidRDefault="00E958DE" w:rsidP="00E958DE">
      <w:pPr>
        <w:bidi w:val="0"/>
        <w:rPr>
          <w:rFonts w:cs="Times New Roman"/>
          <w:b/>
          <w:bCs/>
          <w:rtl/>
        </w:rPr>
      </w:pPr>
    </w:p>
    <w:p w14:paraId="5BB26648" w14:textId="77777777" w:rsidR="00E958DE" w:rsidRPr="00927676" w:rsidRDefault="00E958DE" w:rsidP="00E958DE">
      <w:pPr>
        <w:bidi w:val="0"/>
        <w:rPr>
          <w:rFonts w:cs="Times New Roman"/>
          <w:b/>
          <w:bCs/>
        </w:rPr>
      </w:pPr>
      <w:r w:rsidRPr="00927676">
        <w:rPr>
          <w:rFonts w:cs="Times New Roman"/>
          <w:b/>
          <w:bCs/>
        </w:rPr>
        <w:t xml:space="preserve">3.2.4  Information and Communications </w:t>
      </w:r>
    </w:p>
    <w:p w14:paraId="660AB9F0"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There were 6,131 employed persons in the information and communications activity in 2024</w:t>
      </w:r>
      <w:r w:rsidRPr="00927676">
        <w:rPr>
          <w:rFonts w:asciiTheme="majorBidi" w:hAnsiTheme="majorBidi" w:cstheme="majorBidi"/>
          <w:sz w:val="19"/>
          <w:szCs w:val="19"/>
          <w:rtl/>
        </w:rPr>
        <w:t>.</w:t>
      </w:r>
      <w:r w:rsidRPr="00927676">
        <w:rPr>
          <w:rFonts w:asciiTheme="majorBidi" w:hAnsiTheme="majorBidi" w:cstheme="majorBidi"/>
          <w:sz w:val="19"/>
          <w:szCs w:val="19"/>
        </w:rPr>
        <w:t xml:space="preserve"> </w:t>
      </w:r>
      <w:r>
        <w:rPr>
          <w:rFonts w:asciiTheme="majorBidi" w:hAnsiTheme="majorBidi" w:cstheme="majorBidi"/>
          <w:sz w:val="19"/>
          <w:szCs w:val="19"/>
        </w:rPr>
        <w:t>T</w:t>
      </w:r>
      <w:r w:rsidRPr="00927676">
        <w:rPr>
          <w:rFonts w:asciiTheme="majorBidi" w:hAnsiTheme="majorBidi" w:cstheme="majorBidi"/>
          <w:sz w:val="19"/>
          <w:szCs w:val="19"/>
        </w:rPr>
        <w:t>he value of the enterprises output in information and communication activities was USD 440.6 million</w:t>
      </w:r>
      <w:r>
        <w:rPr>
          <w:rFonts w:asciiTheme="majorBidi" w:hAnsiTheme="majorBidi" w:cstheme="majorBidi"/>
          <w:sz w:val="19"/>
          <w:szCs w:val="19"/>
        </w:rPr>
        <w:t>,</w:t>
      </w:r>
      <w:r w:rsidRPr="00927676">
        <w:rPr>
          <w:rFonts w:asciiTheme="majorBidi" w:hAnsiTheme="majorBidi" w:cstheme="majorBidi"/>
          <w:sz w:val="19"/>
          <w:szCs w:val="19"/>
        </w:rPr>
        <w:t xml:space="preserve"> intermediate consumption was USD 81.3 million</w:t>
      </w:r>
      <w:r>
        <w:rPr>
          <w:rFonts w:asciiTheme="majorBidi" w:hAnsiTheme="majorBidi" w:cstheme="majorBidi"/>
          <w:sz w:val="19"/>
          <w:szCs w:val="19"/>
        </w:rPr>
        <w:t>,</w:t>
      </w:r>
      <w:r w:rsidRPr="00927676">
        <w:rPr>
          <w:rFonts w:asciiTheme="majorBidi" w:hAnsiTheme="majorBidi" w:cstheme="majorBidi"/>
          <w:sz w:val="19"/>
          <w:szCs w:val="19"/>
        </w:rPr>
        <w:t xml:space="preserve"> and the value added was USD 359.3 million in 2024.</w:t>
      </w:r>
    </w:p>
    <w:p w14:paraId="448C079A" w14:textId="77777777" w:rsidR="00E958DE" w:rsidRPr="00927676" w:rsidRDefault="00E958DE" w:rsidP="00E958DE">
      <w:pPr>
        <w:pStyle w:val="ListParagraph"/>
        <w:bidi w:val="0"/>
        <w:ind w:left="284"/>
        <w:contextualSpacing/>
        <w:jc w:val="both"/>
        <w:rPr>
          <w:rFonts w:asciiTheme="majorBidi" w:hAnsiTheme="majorBidi" w:cstheme="majorBidi"/>
          <w:sz w:val="19"/>
          <w:szCs w:val="19"/>
        </w:rPr>
      </w:pPr>
    </w:p>
    <w:p w14:paraId="4B0C6980" w14:textId="77777777" w:rsidR="00E958DE" w:rsidRPr="00927676" w:rsidRDefault="00E958DE" w:rsidP="00E958DE">
      <w:pPr>
        <w:autoSpaceDN w:val="0"/>
        <w:bidi w:val="0"/>
        <w:jc w:val="lowKashida"/>
        <w:rPr>
          <w:rFonts w:cs="Times New Roman"/>
          <w:b/>
          <w:bCs/>
        </w:rPr>
      </w:pPr>
      <w:r w:rsidRPr="00927676">
        <w:rPr>
          <w:rFonts w:cs="Times New Roman"/>
          <w:b/>
          <w:bCs/>
        </w:rPr>
        <w:t>3.2.5 Services</w:t>
      </w:r>
    </w:p>
    <w:p w14:paraId="36382313"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There were 82,867 employed persons in services activities. The value of the enterprises output in the services activities was USD 1,675.6 million</w:t>
      </w:r>
      <w:r>
        <w:rPr>
          <w:rFonts w:asciiTheme="majorBidi" w:hAnsiTheme="majorBidi" w:cstheme="majorBidi"/>
          <w:sz w:val="19"/>
          <w:szCs w:val="19"/>
        </w:rPr>
        <w:t>,</w:t>
      </w:r>
      <w:r w:rsidRPr="00927676">
        <w:rPr>
          <w:rFonts w:asciiTheme="majorBidi" w:hAnsiTheme="majorBidi" w:cstheme="majorBidi"/>
          <w:sz w:val="19"/>
          <w:szCs w:val="19"/>
        </w:rPr>
        <w:t xml:space="preserve"> intermediate consumption totaled USD 391.1 million</w:t>
      </w:r>
      <w:r>
        <w:rPr>
          <w:rFonts w:asciiTheme="majorBidi" w:hAnsiTheme="majorBidi" w:cstheme="majorBidi"/>
          <w:sz w:val="19"/>
          <w:szCs w:val="19"/>
        </w:rPr>
        <w:t>,</w:t>
      </w:r>
      <w:r w:rsidRPr="00927676">
        <w:rPr>
          <w:rFonts w:asciiTheme="majorBidi" w:hAnsiTheme="majorBidi" w:cstheme="majorBidi"/>
          <w:sz w:val="19"/>
          <w:szCs w:val="19"/>
        </w:rPr>
        <w:t xml:space="preserve"> and the value added was USD 1,284.5 million.</w:t>
      </w:r>
    </w:p>
    <w:p w14:paraId="22A665FF" w14:textId="77777777" w:rsidR="00E958DE" w:rsidRPr="00927676" w:rsidRDefault="00E958DE" w:rsidP="00E958DE">
      <w:pPr>
        <w:pStyle w:val="Default"/>
        <w:jc w:val="both"/>
        <w:rPr>
          <w:rFonts w:ascii="Times New Roman" w:eastAsia="Times New Roman" w:hAnsi="Times New Roman" w:cs="Times New Roman"/>
          <w:color w:val="auto"/>
          <w:sz w:val="20"/>
          <w:szCs w:val="20"/>
          <w:lang w:eastAsia="ar-SA"/>
        </w:rPr>
      </w:pPr>
    </w:p>
    <w:p w14:paraId="64A3B629" w14:textId="77777777" w:rsidR="00E958DE" w:rsidRPr="00927676" w:rsidRDefault="00E958DE" w:rsidP="00E958DE">
      <w:pPr>
        <w:autoSpaceDN w:val="0"/>
        <w:bidi w:val="0"/>
        <w:jc w:val="lowKashida"/>
        <w:rPr>
          <w:rFonts w:cs="Times New Roman"/>
          <w:b/>
          <w:bCs/>
        </w:rPr>
      </w:pPr>
      <w:r w:rsidRPr="00927676">
        <w:rPr>
          <w:rFonts w:cs="Times New Roman"/>
          <w:b/>
          <w:bCs/>
        </w:rPr>
        <w:t xml:space="preserve">3.2.6  Finance and Insurance </w:t>
      </w:r>
    </w:p>
    <w:p w14:paraId="77902A84"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There were 16,862 employed persons in financial intermediation enterprises in 2024, and the value of output in financial intermediation enterprises was USD 1208.8 million in 2024</w:t>
      </w:r>
      <w:r>
        <w:rPr>
          <w:rFonts w:asciiTheme="majorBidi" w:hAnsiTheme="majorBidi" w:cstheme="majorBidi"/>
          <w:sz w:val="19"/>
          <w:szCs w:val="19"/>
        </w:rPr>
        <w:t>,</w:t>
      </w:r>
      <w:r w:rsidRPr="00927676">
        <w:rPr>
          <w:rFonts w:asciiTheme="majorBidi" w:hAnsiTheme="majorBidi" w:cstheme="majorBidi"/>
          <w:sz w:val="19"/>
          <w:szCs w:val="19"/>
        </w:rPr>
        <w:t xml:space="preserve"> </w:t>
      </w:r>
      <w:r>
        <w:rPr>
          <w:rFonts w:asciiTheme="majorBidi" w:hAnsiTheme="majorBidi" w:cstheme="majorBidi"/>
          <w:sz w:val="19"/>
          <w:szCs w:val="19"/>
        </w:rPr>
        <w:t>w</w:t>
      </w:r>
      <w:r w:rsidRPr="00927676">
        <w:rPr>
          <w:rFonts w:asciiTheme="majorBidi" w:hAnsiTheme="majorBidi" w:cstheme="majorBidi"/>
          <w:sz w:val="19"/>
          <w:szCs w:val="19"/>
        </w:rPr>
        <w:t xml:space="preserve">hile the value of intermediate consumption in financial intermediation enterprises was USD 385.6 </w:t>
      </w:r>
      <w:r w:rsidRPr="00927676">
        <w:rPr>
          <w:rFonts w:asciiTheme="majorBidi" w:hAnsiTheme="majorBidi" w:cstheme="majorBidi"/>
          <w:sz w:val="19"/>
          <w:szCs w:val="19"/>
        </w:rPr>
        <w:lastRenderedPageBreak/>
        <w:t>million in 2024, the gross value added in financial intermediation enterprises was 823.2 USD million.</w:t>
      </w:r>
    </w:p>
    <w:p w14:paraId="70BC122C" w14:textId="77777777" w:rsidR="00E958DE" w:rsidRPr="00927676" w:rsidRDefault="00E958DE" w:rsidP="00E958DE">
      <w:pPr>
        <w:pStyle w:val="Default"/>
        <w:ind w:left="426"/>
        <w:jc w:val="both"/>
        <w:rPr>
          <w:rFonts w:ascii="Times New Roman" w:eastAsia="Times New Roman" w:hAnsi="Times New Roman" w:cs="Times New Roman"/>
          <w:color w:val="auto"/>
          <w:sz w:val="20"/>
          <w:szCs w:val="20"/>
          <w:lang w:eastAsia="ar-SA"/>
        </w:rPr>
      </w:pPr>
    </w:p>
    <w:p w14:paraId="7A120483" w14:textId="77777777" w:rsidR="00E958DE" w:rsidRPr="00927676" w:rsidRDefault="00E958DE" w:rsidP="00E958DE">
      <w:pPr>
        <w:autoSpaceDN w:val="0"/>
        <w:bidi w:val="0"/>
        <w:jc w:val="lowKashida"/>
        <w:rPr>
          <w:rFonts w:cs="Times New Roman"/>
          <w:b/>
          <w:bCs/>
        </w:rPr>
      </w:pPr>
      <w:r w:rsidRPr="00927676">
        <w:rPr>
          <w:rFonts w:cs="Times New Roman"/>
          <w:b/>
          <w:bCs/>
        </w:rPr>
        <w:t>3.2.7 Internal Trade</w:t>
      </w:r>
    </w:p>
    <w:p w14:paraId="20441066"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In 2024, there were 103,573 employed persons in the internal trade activity. The value of the enterprises output in internal trade activities was USD 3,369.8 million</w:t>
      </w:r>
      <w:r>
        <w:rPr>
          <w:rFonts w:asciiTheme="majorBidi" w:hAnsiTheme="majorBidi" w:cstheme="majorBidi"/>
          <w:sz w:val="19"/>
          <w:szCs w:val="19"/>
        </w:rPr>
        <w:t>,</w:t>
      </w:r>
      <w:r w:rsidRPr="00927676">
        <w:rPr>
          <w:rFonts w:asciiTheme="majorBidi" w:hAnsiTheme="majorBidi" w:cstheme="majorBidi"/>
          <w:sz w:val="19"/>
          <w:szCs w:val="19"/>
        </w:rPr>
        <w:t xml:space="preserve"> intermediate consumption totaled USD 578.8 million</w:t>
      </w:r>
      <w:r>
        <w:rPr>
          <w:rFonts w:asciiTheme="majorBidi" w:hAnsiTheme="majorBidi" w:cstheme="majorBidi"/>
          <w:sz w:val="19"/>
          <w:szCs w:val="19"/>
        </w:rPr>
        <w:t>,</w:t>
      </w:r>
      <w:r w:rsidRPr="00927676">
        <w:rPr>
          <w:rFonts w:asciiTheme="majorBidi" w:hAnsiTheme="majorBidi" w:cstheme="majorBidi"/>
          <w:sz w:val="19"/>
          <w:szCs w:val="19"/>
        </w:rPr>
        <w:t xml:space="preserve"> and the value added was USD 2,791.0 million.</w:t>
      </w:r>
    </w:p>
    <w:p w14:paraId="6E35E7CD" w14:textId="77777777" w:rsidR="00E958DE" w:rsidRPr="00927676" w:rsidRDefault="00E958DE" w:rsidP="00E958DE">
      <w:pPr>
        <w:bidi w:val="0"/>
        <w:rPr>
          <w:rFonts w:cs="Times New Roman"/>
          <w:b/>
          <w:bCs/>
          <w:szCs w:val="16"/>
        </w:rPr>
      </w:pPr>
    </w:p>
    <w:p w14:paraId="250AA001" w14:textId="77777777" w:rsidR="00E958DE" w:rsidRPr="00927676" w:rsidRDefault="00E958DE" w:rsidP="00E958DE">
      <w:pPr>
        <w:pStyle w:val="ListParagraph"/>
        <w:numPr>
          <w:ilvl w:val="1"/>
          <w:numId w:val="18"/>
        </w:numPr>
        <w:bidi w:val="0"/>
        <w:ind w:left="426" w:hanging="426"/>
        <w:rPr>
          <w:rFonts w:cs="Times New Roman"/>
          <w:b/>
          <w:bCs/>
          <w:sz w:val="20"/>
          <w:szCs w:val="16"/>
        </w:rPr>
      </w:pPr>
      <w:r w:rsidRPr="00927676">
        <w:rPr>
          <w:rFonts w:cs="Times New Roman"/>
          <w:b/>
          <w:bCs/>
          <w:sz w:val="20"/>
          <w:szCs w:val="16"/>
        </w:rPr>
        <w:t>External Sector</w:t>
      </w:r>
    </w:p>
    <w:p w14:paraId="23A91C02" w14:textId="77777777" w:rsidR="00E958DE" w:rsidRPr="00927676" w:rsidRDefault="00E958DE" w:rsidP="00E958DE">
      <w:pPr>
        <w:autoSpaceDN w:val="0"/>
        <w:bidi w:val="0"/>
        <w:jc w:val="lowKashida"/>
        <w:rPr>
          <w:rFonts w:cs="Times New Roman"/>
          <w:b/>
          <w:bCs/>
        </w:rPr>
      </w:pPr>
      <w:r w:rsidRPr="00927676">
        <w:rPr>
          <w:rFonts w:cs="Times New Roman"/>
          <w:b/>
          <w:bCs/>
        </w:rPr>
        <w:t>3.3.1 Registered Foreign Trade</w:t>
      </w:r>
    </w:p>
    <w:p w14:paraId="29A443CE" w14:textId="1C53E374" w:rsidR="00E958DE" w:rsidRDefault="00E958DE" w:rsidP="00E958DE">
      <w:pPr>
        <w:pStyle w:val="Title"/>
        <w:ind w:left="-210" w:firstLine="210"/>
        <w:jc w:val="left"/>
        <w:rPr>
          <w:sz w:val="12"/>
          <w:szCs w:val="12"/>
        </w:rPr>
      </w:pPr>
    </w:p>
    <w:p w14:paraId="1DCA0FD4" w14:textId="77777777" w:rsidR="00E958DE" w:rsidRPr="000B039F" w:rsidRDefault="00E958DE" w:rsidP="00E958DE">
      <w:pPr>
        <w:pStyle w:val="Title"/>
        <w:tabs>
          <w:tab w:val="right" w:pos="308"/>
        </w:tabs>
        <w:jc w:val="left"/>
        <w:rPr>
          <w:sz w:val="20"/>
          <w:szCs w:val="20"/>
        </w:rPr>
      </w:pPr>
      <w:r w:rsidRPr="000B039F">
        <w:rPr>
          <w:sz w:val="20"/>
          <w:szCs w:val="20"/>
        </w:rPr>
        <w:t>Imports:</w:t>
      </w:r>
    </w:p>
    <w:p w14:paraId="6BCDF142" w14:textId="246235AA" w:rsidR="00E958DE" w:rsidRPr="000B039F"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0B039F">
        <w:rPr>
          <w:rFonts w:asciiTheme="majorBidi" w:hAnsiTheme="majorBidi" w:cstheme="majorBidi"/>
          <w:sz w:val="19"/>
          <w:szCs w:val="19"/>
        </w:rPr>
        <w:t xml:space="preserve">The total value of registered imported goods in 2024 was USD 6,548.4 million, marking a </w:t>
      </w:r>
      <w:r w:rsidRPr="000B039F">
        <w:rPr>
          <w:sz w:val="19"/>
          <w:szCs w:val="19"/>
        </w:rPr>
        <w:t>decrease</w:t>
      </w:r>
      <w:r w:rsidRPr="000B039F">
        <w:rPr>
          <w:rStyle w:val="longtext"/>
          <w:rFonts w:asciiTheme="majorBidi" w:hAnsiTheme="majorBidi" w:cstheme="majorBidi"/>
          <w:shd w:val="clear" w:color="auto" w:fill="FFFFFF"/>
        </w:rPr>
        <w:t xml:space="preserve"> </w:t>
      </w:r>
      <w:r w:rsidRPr="000B039F">
        <w:rPr>
          <w:rFonts w:asciiTheme="majorBidi" w:hAnsiTheme="majorBidi" w:cstheme="majorBidi"/>
          <w:sz w:val="19"/>
          <w:szCs w:val="19"/>
        </w:rPr>
        <w:t>of 21% compared to 2023.</w:t>
      </w:r>
    </w:p>
    <w:p w14:paraId="56AD687C" w14:textId="77777777" w:rsidR="00E958DE" w:rsidRPr="000B039F" w:rsidRDefault="00E958DE" w:rsidP="00E958DE">
      <w:pPr>
        <w:pStyle w:val="Default"/>
        <w:ind w:left="284"/>
        <w:jc w:val="both"/>
        <w:rPr>
          <w:rFonts w:ascii="Times New Roman" w:eastAsia="Times New Roman" w:hAnsi="Times New Roman" w:cs="Times New Roman"/>
          <w:color w:val="auto"/>
          <w:sz w:val="20"/>
          <w:szCs w:val="20"/>
          <w:rtl/>
          <w:lang w:eastAsia="ar-SA"/>
        </w:rPr>
      </w:pPr>
    </w:p>
    <w:p w14:paraId="558E5275" w14:textId="77777777" w:rsidR="00E958DE" w:rsidRPr="000B039F" w:rsidRDefault="00E958DE" w:rsidP="00E958DE">
      <w:pPr>
        <w:pStyle w:val="Title"/>
        <w:tabs>
          <w:tab w:val="right" w:pos="308"/>
        </w:tabs>
        <w:jc w:val="left"/>
        <w:rPr>
          <w:sz w:val="20"/>
          <w:szCs w:val="20"/>
        </w:rPr>
      </w:pPr>
      <w:r w:rsidRPr="000B039F">
        <w:rPr>
          <w:sz w:val="20"/>
          <w:szCs w:val="20"/>
        </w:rPr>
        <w:t>Exports:</w:t>
      </w:r>
    </w:p>
    <w:p w14:paraId="4FFE448B" w14:textId="31095C63" w:rsidR="00E958DE" w:rsidRPr="000B039F" w:rsidRDefault="00E958DE" w:rsidP="0098516E">
      <w:pPr>
        <w:pStyle w:val="ListParagraph"/>
        <w:numPr>
          <w:ilvl w:val="0"/>
          <w:numId w:val="3"/>
        </w:numPr>
        <w:bidi w:val="0"/>
        <w:ind w:left="284" w:hanging="284"/>
        <w:contextualSpacing/>
        <w:jc w:val="both"/>
        <w:rPr>
          <w:rFonts w:asciiTheme="majorBidi" w:hAnsiTheme="majorBidi" w:cstheme="majorBidi"/>
          <w:sz w:val="19"/>
          <w:szCs w:val="19"/>
        </w:rPr>
      </w:pPr>
      <w:r w:rsidRPr="000B039F">
        <w:rPr>
          <w:rFonts w:asciiTheme="majorBidi" w:hAnsiTheme="majorBidi" w:cstheme="majorBidi"/>
          <w:sz w:val="19"/>
          <w:szCs w:val="19"/>
        </w:rPr>
        <w:t xml:space="preserve">The registered exported goods totaled USD 1,714.1 million in 2024, </w:t>
      </w:r>
      <w:r w:rsidR="000B039F" w:rsidRPr="000B039F">
        <w:rPr>
          <w:rFonts w:asciiTheme="majorBidi" w:hAnsiTheme="majorBidi" w:cstheme="majorBidi"/>
          <w:sz w:val="19"/>
          <w:szCs w:val="19"/>
        </w:rPr>
        <w:t xml:space="preserve">marking an </w:t>
      </w:r>
      <w:r w:rsidR="000B039F" w:rsidRPr="0098516E">
        <w:rPr>
          <w:rFonts w:asciiTheme="majorBidi" w:hAnsiTheme="majorBidi" w:cstheme="majorBidi"/>
          <w:sz w:val="19"/>
          <w:szCs w:val="19"/>
        </w:rPr>
        <w:t xml:space="preserve">increase </w:t>
      </w:r>
      <w:r w:rsidR="000B039F" w:rsidRPr="000B039F">
        <w:rPr>
          <w:rFonts w:asciiTheme="majorBidi" w:hAnsiTheme="majorBidi" w:cstheme="majorBidi"/>
          <w:sz w:val="19"/>
          <w:szCs w:val="19"/>
        </w:rPr>
        <w:t>of 13% compared to 2023</w:t>
      </w:r>
      <w:r w:rsidRPr="000B039F">
        <w:rPr>
          <w:rFonts w:asciiTheme="majorBidi" w:hAnsiTheme="majorBidi" w:cstheme="majorBidi"/>
          <w:sz w:val="19"/>
          <w:szCs w:val="19"/>
        </w:rPr>
        <w:t xml:space="preserve">. </w:t>
      </w:r>
    </w:p>
    <w:p w14:paraId="689873DE" w14:textId="77777777" w:rsidR="00E958DE" w:rsidRPr="000B039F" w:rsidRDefault="00E958DE" w:rsidP="00E958DE">
      <w:pPr>
        <w:pStyle w:val="Default"/>
        <w:ind w:left="284"/>
        <w:jc w:val="both"/>
        <w:rPr>
          <w:rFonts w:ascii="Times New Roman" w:eastAsia="Times New Roman" w:hAnsi="Times New Roman" w:cs="Times New Roman"/>
          <w:color w:val="auto"/>
          <w:sz w:val="20"/>
          <w:szCs w:val="20"/>
          <w:rtl/>
          <w:lang w:eastAsia="ar-SA"/>
        </w:rPr>
      </w:pPr>
    </w:p>
    <w:p w14:paraId="3BA1F0A7" w14:textId="77777777" w:rsidR="00E958DE" w:rsidRPr="000B039F" w:rsidRDefault="00E958DE" w:rsidP="00E958DE">
      <w:pPr>
        <w:pStyle w:val="Title"/>
        <w:tabs>
          <w:tab w:val="right" w:pos="308"/>
        </w:tabs>
        <w:jc w:val="left"/>
        <w:rPr>
          <w:sz w:val="20"/>
          <w:szCs w:val="20"/>
        </w:rPr>
      </w:pPr>
      <w:r w:rsidRPr="000B039F">
        <w:rPr>
          <w:sz w:val="20"/>
          <w:szCs w:val="20"/>
        </w:rPr>
        <w:t xml:space="preserve">Trade Balance: </w:t>
      </w:r>
    </w:p>
    <w:p w14:paraId="4E9A0AD0" w14:textId="6D515653" w:rsidR="00E958DE" w:rsidRPr="000B039F" w:rsidRDefault="000B039F" w:rsidP="00E958DE">
      <w:pPr>
        <w:pStyle w:val="ListParagraph"/>
        <w:numPr>
          <w:ilvl w:val="0"/>
          <w:numId w:val="3"/>
        </w:numPr>
        <w:bidi w:val="0"/>
        <w:ind w:left="284" w:hanging="284"/>
        <w:contextualSpacing/>
        <w:jc w:val="both"/>
        <w:rPr>
          <w:rFonts w:asciiTheme="majorBidi" w:hAnsiTheme="majorBidi" w:cstheme="majorBidi"/>
          <w:sz w:val="19"/>
          <w:szCs w:val="19"/>
        </w:rPr>
      </w:pPr>
      <w:r w:rsidRPr="000B039F">
        <w:rPr>
          <w:rFonts w:asciiTheme="majorBidi" w:hAnsiTheme="majorBidi" w:cstheme="majorBidi"/>
          <w:sz w:val="19"/>
          <w:szCs w:val="19"/>
        </w:rPr>
        <w:t xml:space="preserve">The deficit in the trade balance in goods (the difference between exports and imports) totaled USD 4,834.3 million in 2024, showing a </w:t>
      </w:r>
      <w:r w:rsidRPr="000B039F">
        <w:rPr>
          <w:sz w:val="19"/>
          <w:szCs w:val="19"/>
        </w:rPr>
        <w:t>decrease</w:t>
      </w:r>
      <w:r w:rsidRPr="000B039F">
        <w:rPr>
          <w:rStyle w:val="longtext"/>
          <w:rFonts w:asciiTheme="majorBidi" w:hAnsiTheme="majorBidi" w:cstheme="majorBidi"/>
          <w:shd w:val="clear" w:color="auto" w:fill="FFFFFF"/>
        </w:rPr>
        <w:t xml:space="preserve"> </w:t>
      </w:r>
      <w:r w:rsidRPr="000B039F">
        <w:rPr>
          <w:rFonts w:asciiTheme="majorBidi" w:hAnsiTheme="majorBidi" w:cstheme="majorBidi"/>
          <w:sz w:val="19"/>
          <w:szCs w:val="19"/>
        </w:rPr>
        <w:t>of 28% compared to 2023</w:t>
      </w:r>
      <w:r w:rsidR="00E958DE" w:rsidRPr="000B039F">
        <w:rPr>
          <w:rFonts w:asciiTheme="majorBidi" w:hAnsiTheme="majorBidi" w:cstheme="majorBidi"/>
          <w:sz w:val="19"/>
          <w:szCs w:val="19"/>
        </w:rPr>
        <w:t>.</w:t>
      </w:r>
    </w:p>
    <w:p w14:paraId="069DA6BB" w14:textId="77777777" w:rsidR="00E958DE" w:rsidRPr="000B039F" w:rsidRDefault="00E958DE" w:rsidP="00E958DE">
      <w:pPr>
        <w:pStyle w:val="Title"/>
        <w:tabs>
          <w:tab w:val="right" w:pos="308"/>
        </w:tabs>
        <w:jc w:val="left"/>
        <w:rPr>
          <w:sz w:val="20"/>
          <w:szCs w:val="20"/>
        </w:rPr>
      </w:pPr>
    </w:p>
    <w:p w14:paraId="69120D40" w14:textId="77777777" w:rsidR="00E958DE" w:rsidRPr="00927676" w:rsidRDefault="00E958DE" w:rsidP="00E958DE">
      <w:pPr>
        <w:pStyle w:val="Title"/>
        <w:tabs>
          <w:tab w:val="right" w:pos="308"/>
        </w:tabs>
        <w:jc w:val="left"/>
        <w:rPr>
          <w:sz w:val="20"/>
          <w:szCs w:val="20"/>
          <w:rtl/>
        </w:rPr>
      </w:pPr>
      <w:r w:rsidRPr="00927676">
        <w:rPr>
          <w:sz w:val="20"/>
          <w:szCs w:val="20"/>
        </w:rPr>
        <w:t xml:space="preserve">3.3.2 Balance of Payments </w:t>
      </w:r>
    </w:p>
    <w:p w14:paraId="1064DB7F" w14:textId="77777777" w:rsidR="0098516E" w:rsidRPr="00B343CC" w:rsidRDefault="0098516E" w:rsidP="0098516E">
      <w:pPr>
        <w:pStyle w:val="Title"/>
        <w:ind w:left="-210" w:firstLine="210"/>
        <w:jc w:val="left"/>
        <w:rPr>
          <w:sz w:val="20"/>
          <w:szCs w:val="20"/>
        </w:rPr>
      </w:pPr>
      <w:r w:rsidRPr="00B343CC">
        <w:rPr>
          <w:sz w:val="20"/>
          <w:szCs w:val="20"/>
        </w:rPr>
        <w:t>Current Account:</w:t>
      </w:r>
    </w:p>
    <w:p w14:paraId="084545D2" w14:textId="77777777" w:rsidR="0098516E" w:rsidRPr="00B343CC" w:rsidRDefault="0098516E" w:rsidP="0098516E">
      <w:pPr>
        <w:pStyle w:val="ListParagraph"/>
        <w:numPr>
          <w:ilvl w:val="0"/>
          <w:numId w:val="3"/>
        </w:numPr>
        <w:bidi w:val="0"/>
        <w:ind w:left="284" w:hanging="284"/>
        <w:contextualSpacing/>
        <w:jc w:val="both"/>
        <w:rPr>
          <w:rFonts w:asciiTheme="majorBidi" w:hAnsiTheme="majorBidi" w:cstheme="majorBidi"/>
          <w:sz w:val="19"/>
          <w:szCs w:val="19"/>
        </w:rPr>
      </w:pPr>
      <w:r w:rsidRPr="00B343CC">
        <w:rPr>
          <w:rFonts w:asciiTheme="majorBidi" w:hAnsiTheme="majorBidi" w:cstheme="majorBidi"/>
          <w:sz w:val="19"/>
          <w:szCs w:val="19"/>
        </w:rPr>
        <w:t>The balance of payments in 202</w:t>
      </w:r>
      <w:r>
        <w:rPr>
          <w:rFonts w:asciiTheme="majorBidi" w:hAnsiTheme="majorBidi" w:cstheme="majorBidi"/>
          <w:sz w:val="19"/>
          <w:szCs w:val="19"/>
        </w:rPr>
        <w:t>4</w:t>
      </w:r>
      <w:r w:rsidRPr="00B343CC">
        <w:rPr>
          <w:rFonts w:asciiTheme="majorBidi" w:hAnsiTheme="majorBidi" w:cstheme="majorBidi"/>
          <w:sz w:val="19"/>
          <w:szCs w:val="19"/>
        </w:rPr>
        <w:t xml:space="preserve"> recorded a deficit of USD 2,</w:t>
      </w:r>
      <w:r>
        <w:rPr>
          <w:rFonts w:asciiTheme="majorBidi" w:hAnsiTheme="majorBidi" w:cstheme="majorBidi"/>
          <w:sz w:val="19"/>
          <w:szCs w:val="19"/>
        </w:rPr>
        <w:t>354</w:t>
      </w:r>
      <w:r w:rsidRPr="00B343CC">
        <w:rPr>
          <w:rFonts w:asciiTheme="majorBidi" w:hAnsiTheme="majorBidi" w:cstheme="majorBidi"/>
          <w:sz w:val="19"/>
          <w:szCs w:val="19"/>
        </w:rPr>
        <w:t xml:space="preserve"> million in current account (goods, services, income, current transfers) compared with a deficit of USD </w:t>
      </w:r>
      <w:r w:rsidRPr="00B343CC">
        <w:rPr>
          <w:rFonts w:asciiTheme="majorBidi" w:hAnsiTheme="majorBidi" w:cstheme="majorBidi" w:hint="cs"/>
          <w:sz w:val="19"/>
          <w:szCs w:val="19"/>
          <w:rtl/>
        </w:rPr>
        <w:t>2</w:t>
      </w:r>
      <w:r w:rsidRPr="00B343CC">
        <w:rPr>
          <w:rFonts w:asciiTheme="majorBidi" w:hAnsiTheme="majorBidi" w:cstheme="majorBidi"/>
          <w:sz w:val="19"/>
          <w:szCs w:val="19"/>
        </w:rPr>
        <w:t>,</w:t>
      </w:r>
      <w:r>
        <w:rPr>
          <w:rFonts w:asciiTheme="majorBidi" w:hAnsiTheme="majorBidi" w:cstheme="majorBidi"/>
          <w:sz w:val="19"/>
          <w:szCs w:val="19"/>
        </w:rPr>
        <w:t>322</w:t>
      </w:r>
      <w:r w:rsidRPr="00B343CC">
        <w:rPr>
          <w:rFonts w:asciiTheme="majorBidi" w:hAnsiTheme="majorBidi" w:cstheme="majorBidi"/>
          <w:sz w:val="19"/>
          <w:szCs w:val="19"/>
        </w:rPr>
        <w:t xml:space="preserve"> million in </w:t>
      </w:r>
      <w:r w:rsidRPr="00B343CC">
        <w:rPr>
          <w:rFonts w:asciiTheme="majorBidi" w:hAnsiTheme="majorBidi" w:cstheme="majorBidi" w:hint="cs"/>
          <w:sz w:val="19"/>
          <w:szCs w:val="19"/>
          <w:rtl/>
        </w:rPr>
        <w:t>202</w:t>
      </w:r>
      <w:r>
        <w:rPr>
          <w:rFonts w:asciiTheme="majorBidi" w:hAnsiTheme="majorBidi" w:cstheme="majorBidi"/>
          <w:sz w:val="19"/>
          <w:szCs w:val="19"/>
        </w:rPr>
        <w:t xml:space="preserve">3 </w:t>
      </w:r>
      <w:r w:rsidRPr="00B343CC">
        <w:rPr>
          <w:rFonts w:asciiTheme="majorBidi" w:hAnsiTheme="majorBidi" w:cstheme="majorBidi"/>
          <w:sz w:val="19"/>
          <w:szCs w:val="19"/>
        </w:rPr>
        <w:t>reflecting a</w:t>
      </w:r>
      <w:r>
        <w:rPr>
          <w:rFonts w:asciiTheme="majorBidi" w:hAnsiTheme="majorBidi" w:cstheme="majorBidi"/>
          <w:sz w:val="19"/>
          <w:szCs w:val="19"/>
        </w:rPr>
        <w:t>n</w:t>
      </w:r>
      <w:r w:rsidRPr="00B343CC">
        <w:rPr>
          <w:rFonts w:asciiTheme="majorBidi" w:hAnsiTheme="majorBidi" w:cstheme="majorBidi"/>
          <w:sz w:val="19"/>
          <w:szCs w:val="19"/>
        </w:rPr>
        <w:t xml:space="preserve"> </w:t>
      </w:r>
      <w:r>
        <w:rPr>
          <w:rFonts w:asciiTheme="majorBidi" w:hAnsiTheme="majorBidi" w:cstheme="majorBidi"/>
          <w:sz w:val="19"/>
          <w:szCs w:val="19"/>
        </w:rPr>
        <w:t>in</w:t>
      </w:r>
      <w:r w:rsidRPr="00B343CC">
        <w:rPr>
          <w:rFonts w:asciiTheme="majorBidi" w:hAnsiTheme="majorBidi" w:cstheme="majorBidi"/>
          <w:sz w:val="19"/>
          <w:szCs w:val="19"/>
        </w:rPr>
        <w:t xml:space="preserve">crease of </w:t>
      </w:r>
      <w:r>
        <w:rPr>
          <w:rFonts w:asciiTheme="majorBidi" w:hAnsiTheme="majorBidi" w:cstheme="majorBidi"/>
          <w:sz w:val="19"/>
          <w:szCs w:val="19"/>
        </w:rPr>
        <w:t>1</w:t>
      </w:r>
      <w:r w:rsidRPr="00B343CC">
        <w:rPr>
          <w:rFonts w:asciiTheme="majorBidi" w:hAnsiTheme="majorBidi" w:cstheme="majorBidi"/>
          <w:sz w:val="19"/>
          <w:szCs w:val="19"/>
        </w:rPr>
        <w:t xml:space="preserve">%. </w:t>
      </w:r>
    </w:p>
    <w:p w14:paraId="649442FB" w14:textId="77777777" w:rsidR="0098516E" w:rsidRPr="00B343CC" w:rsidRDefault="0098516E" w:rsidP="0098516E">
      <w:pPr>
        <w:pStyle w:val="ListParagraph"/>
        <w:numPr>
          <w:ilvl w:val="0"/>
          <w:numId w:val="3"/>
        </w:numPr>
        <w:bidi w:val="0"/>
        <w:ind w:left="284" w:hanging="284"/>
        <w:contextualSpacing/>
        <w:jc w:val="both"/>
        <w:rPr>
          <w:rFonts w:asciiTheme="majorBidi" w:hAnsiTheme="majorBidi" w:cstheme="majorBidi"/>
          <w:sz w:val="19"/>
          <w:szCs w:val="19"/>
        </w:rPr>
      </w:pPr>
      <w:r w:rsidRPr="00B343CC">
        <w:rPr>
          <w:rFonts w:asciiTheme="majorBidi" w:hAnsiTheme="majorBidi" w:cstheme="majorBidi"/>
          <w:sz w:val="19"/>
          <w:szCs w:val="19"/>
        </w:rPr>
        <w:t>The trade balance of goods recorded</w:t>
      </w:r>
      <w:r w:rsidRPr="00B343CC">
        <w:rPr>
          <w:rFonts w:asciiTheme="majorBidi" w:hAnsiTheme="majorBidi" w:cstheme="majorBidi"/>
          <w:sz w:val="19"/>
          <w:szCs w:val="19"/>
          <w:rtl/>
        </w:rPr>
        <w:t xml:space="preserve"> </w:t>
      </w:r>
      <w:r w:rsidRPr="00B343CC">
        <w:rPr>
          <w:rFonts w:asciiTheme="majorBidi" w:hAnsiTheme="majorBidi" w:cstheme="majorBidi"/>
          <w:sz w:val="19"/>
          <w:szCs w:val="19"/>
        </w:rPr>
        <w:t xml:space="preserve">a deficit of USD </w:t>
      </w:r>
      <w:r>
        <w:rPr>
          <w:rFonts w:asciiTheme="majorBidi" w:hAnsiTheme="majorBidi" w:cstheme="majorBidi"/>
          <w:sz w:val="19"/>
          <w:szCs w:val="19"/>
        </w:rPr>
        <w:t>4</w:t>
      </w:r>
      <w:r w:rsidRPr="00B343CC">
        <w:rPr>
          <w:rFonts w:asciiTheme="majorBidi" w:hAnsiTheme="majorBidi" w:cstheme="majorBidi"/>
          <w:sz w:val="19"/>
          <w:szCs w:val="19"/>
        </w:rPr>
        <w:t>,</w:t>
      </w:r>
      <w:r>
        <w:rPr>
          <w:rFonts w:asciiTheme="majorBidi" w:hAnsiTheme="majorBidi" w:cstheme="majorBidi"/>
          <w:sz w:val="19"/>
          <w:szCs w:val="19"/>
        </w:rPr>
        <w:t>250 million. This reflects a</w:t>
      </w:r>
      <w:r w:rsidRPr="00B343CC">
        <w:rPr>
          <w:rFonts w:asciiTheme="majorBidi" w:hAnsiTheme="majorBidi" w:cstheme="majorBidi"/>
          <w:sz w:val="19"/>
          <w:szCs w:val="19"/>
        </w:rPr>
        <w:t xml:space="preserve"> decrease of </w:t>
      </w:r>
      <w:r>
        <w:rPr>
          <w:rFonts w:asciiTheme="majorBidi" w:hAnsiTheme="majorBidi" w:cstheme="majorBidi"/>
          <w:sz w:val="19"/>
          <w:szCs w:val="19"/>
        </w:rPr>
        <w:t>35</w:t>
      </w:r>
      <w:r w:rsidRPr="00B343CC">
        <w:rPr>
          <w:rFonts w:asciiTheme="majorBidi" w:hAnsiTheme="majorBidi" w:cstheme="majorBidi"/>
          <w:sz w:val="19"/>
          <w:szCs w:val="19"/>
        </w:rPr>
        <w:t>% compared with the deficit in 202</w:t>
      </w:r>
      <w:r>
        <w:rPr>
          <w:rFonts w:asciiTheme="majorBidi" w:hAnsiTheme="majorBidi" w:cstheme="majorBidi"/>
          <w:sz w:val="19"/>
          <w:szCs w:val="19"/>
        </w:rPr>
        <w:t>3</w:t>
      </w:r>
      <w:r w:rsidRPr="00B343CC">
        <w:rPr>
          <w:rFonts w:asciiTheme="majorBidi" w:hAnsiTheme="majorBidi" w:cstheme="majorBidi"/>
          <w:sz w:val="19"/>
          <w:szCs w:val="19"/>
        </w:rPr>
        <w:t>. The trade balance deficit with Israel was the main cause of the overall trade balance deficit.</w:t>
      </w:r>
    </w:p>
    <w:p w14:paraId="26DA9225" w14:textId="77777777" w:rsidR="0098516E" w:rsidRPr="00B343CC" w:rsidRDefault="0098516E" w:rsidP="0098516E">
      <w:pPr>
        <w:pStyle w:val="ListParagraph"/>
        <w:numPr>
          <w:ilvl w:val="0"/>
          <w:numId w:val="3"/>
        </w:numPr>
        <w:bidi w:val="0"/>
        <w:ind w:left="284" w:hanging="284"/>
        <w:contextualSpacing/>
        <w:jc w:val="both"/>
        <w:rPr>
          <w:rFonts w:asciiTheme="majorBidi" w:hAnsiTheme="majorBidi" w:cstheme="majorBidi"/>
          <w:sz w:val="19"/>
          <w:szCs w:val="19"/>
        </w:rPr>
      </w:pPr>
      <w:r w:rsidRPr="00B343CC">
        <w:rPr>
          <w:rFonts w:asciiTheme="majorBidi" w:hAnsiTheme="majorBidi" w:cstheme="majorBidi"/>
          <w:sz w:val="19"/>
          <w:szCs w:val="19"/>
        </w:rPr>
        <w:t xml:space="preserve">Service account recorded a deficit of USD </w:t>
      </w:r>
      <w:r>
        <w:rPr>
          <w:rFonts w:asciiTheme="majorBidi" w:hAnsiTheme="majorBidi" w:cstheme="majorBidi"/>
          <w:sz w:val="19"/>
          <w:szCs w:val="19"/>
        </w:rPr>
        <w:t>696</w:t>
      </w:r>
      <w:r w:rsidRPr="00B343CC">
        <w:rPr>
          <w:rFonts w:asciiTheme="majorBidi" w:hAnsiTheme="majorBidi" w:cstheme="majorBidi"/>
          <w:sz w:val="19"/>
          <w:szCs w:val="19"/>
        </w:rPr>
        <w:t xml:space="preserve"> million compared with a deficit of USD </w:t>
      </w:r>
      <w:r>
        <w:rPr>
          <w:rFonts w:asciiTheme="majorBidi" w:hAnsiTheme="majorBidi" w:cstheme="majorBidi"/>
          <w:sz w:val="19"/>
          <w:szCs w:val="19"/>
        </w:rPr>
        <w:t>1</w:t>
      </w:r>
      <w:r w:rsidRPr="00B343CC">
        <w:rPr>
          <w:rFonts w:asciiTheme="majorBidi" w:hAnsiTheme="majorBidi" w:cstheme="majorBidi"/>
          <w:sz w:val="19"/>
          <w:szCs w:val="19"/>
        </w:rPr>
        <w:t>,</w:t>
      </w:r>
      <w:r>
        <w:rPr>
          <w:rFonts w:asciiTheme="majorBidi" w:hAnsiTheme="majorBidi" w:cstheme="majorBidi"/>
          <w:sz w:val="19"/>
          <w:szCs w:val="19"/>
        </w:rPr>
        <w:t>298</w:t>
      </w:r>
      <w:r w:rsidRPr="00B343CC">
        <w:rPr>
          <w:rFonts w:asciiTheme="majorBidi" w:hAnsiTheme="majorBidi" w:cstheme="majorBidi"/>
          <w:sz w:val="19"/>
          <w:szCs w:val="19"/>
        </w:rPr>
        <w:t xml:space="preserve"> million in 202</w:t>
      </w:r>
      <w:r>
        <w:rPr>
          <w:rFonts w:asciiTheme="majorBidi" w:hAnsiTheme="majorBidi" w:cstheme="majorBidi"/>
          <w:sz w:val="19"/>
          <w:szCs w:val="19"/>
        </w:rPr>
        <w:t>3</w:t>
      </w:r>
      <w:r w:rsidRPr="00B343CC">
        <w:rPr>
          <w:rFonts w:asciiTheme="majorBidi" w:hAnsiTheme="majorBidi" w:cstheme="majorBidi"/>
          <w:sz w:val="19"/>
          <w:szCs w:val="19"/>
        </w:rPr>
        <w:t xml:space="preserve">. The decrease in the services balance deficit was caused by an decrease of imports in travel and transport services. </w:t>
      </w:r>
    </w:p>
    <w:p w14:paraId="2A254BB1" w14:textId="77777777" w:rsidR="0098516E" w:rsidRPr="00B343CC" w:rsidRDefault="0098516E" w:rsidP="0098516E">
      <w:pPr>
        <w:pStyle w:val="Title"/>
        <w:ind w:left="-210" w:firstLine="210"/>
        <w:jc w:val="left"/>
        <w:rPr>
          <w:sz w:val="20"/>
          <w:szCs w:val="20"/>
        </w:rPr>
      </w:pPr>
    </w:p>
    <w:p w14:paraId="73D58C41" w14:textId="77777777" w:rsidR="0098516E" w:rsidRPr="00B343CC" w:rsidRDefault="0098516E" w:rsidP="0098516E">
      <w:pPr>
        <w:pStyle w:val="Title"/>
        <w:ind w:left="-210" w:firstLine="210"/>
        <w:jc w:val="left"/>
        <w:rPr>
          <w:sz w:val="20"/>
          <w:szCs w:val="20"/>
        </w:rPr>
      </w:pPr>
      <w:r w:rsidRPr="00B343CC">
        <w:rPr>
          <w:sz w:val="20"/>
          <w:szCs w:val="20"/>
        </w:rPr>
        <w:t>Income Balance:</w:t>
      </w:r>
    </w:p>
    <w:p w14:paraId="62729A57" w14:textId="77777777" w:rsidR="0098516E" w:rsidRPr="00B343CC" w:rsidRDefault="0098516E" w:rsidP="0098516E">
      <w:pPr>
        <w:pStyle w:val="ListParagraph"/>
        <w:numPr>
          <w:ilvl w:val="0"/>
          <w:numId w:val="3"/>
        </w:numPr>
        <w:bidi w:val="0"/>
        <w:ind w:left="284" w:hanging="284"/>
        <w:contextualSpacing/>
        <w:jc w:val="both"/>
        <w:rPr>
          <w:rFonts w:asciiTheme="majorBidi" w:hAnsiTheme="majorBidi" w:cstheme="majorBidi"/>
          <w:sz w:val="19"/>
          <w:szCs w:val="19"/>
        </w:rPr>
      </w:pPr>
      <w:r w:rsidRPr="00B343CC">
        <w:rPr>
          <w:rFonts w:asciiTheme="majorBidi" w:hAnsiTheme="majorBidi" w:cstheme="majorBidi"/>
          <w:sz w:val="19"/>
          <w:szCs w:val="19"/>
        </w:rPr>
        <w:t xml:space="preserve">A surplus of USD </w:t>
      </w:r>
      <w:r>
        <w:rPr>
          <w:rFonts w:asciiTheme="majorBidi" w:hAnsiTheme="majorBidi" w:cstheme="majorBidi"/>
          <w:sz w:val="19"/>
          <w:szCs w:val="19"/>
        </w:rPr>
        <w:t>830</w:t>
      </w:r>
      <w:r w:rsidRPr="00B343CC">
        <w:rPr>
          <w:rFonts w:asciiTheme="majorBidi" w:hAnsiTheme="majorBidi" w:cstheme="majorBidi"/>
          <w:sz w:val="19"/>
          <w:szCs w:val="19"/>
        </w:rPr>
        <w:t xml:space="preserve"> million was recorded </w:t>
      </w:r>
      <w:r>
        <w:rPr>
          <w:rFonts w:asciiTheme="majorBidi" w:hAnsiTheme="majorBidi" w:cstheme="majorBidi"/>
          <w:sz w:val="19"/>
          <w:szCs w:val="19"/>
        </w:rPr>
        <w:t>in this account, representing a</w:t>
      </w:r>
      <w:r w:rsidRPr="00B343CC">
        <w:rPr>
          <w:rFonts w:asciiTheme="majorBidi" w:hAnsiTheme="majorBidi" w:cstheme="majorBidi"/>
          <w:sz w:val="19"/>
          <w:szCs w:val="19"/>
        </w:rPr>
        <w:t xml:space="preserve"> decrease of </w:t>
      </w:r>
      <w:r>
        <w:rPr>
          <w:rFonts w:asciiTheme="majorBidi" w:hAnsiTheme="majorBidi" w:cstheme="majorBidi"/>
          <w:sz w:val="19"/>
          <w:szCs w:val="19"/>
        </w:rPr>
        <w:t>77</w:t>
      </w:r>
      <w:r w:rsidRPr="00B343CC">
        <w:rPr>
          <w:rFonts w:asciiTheme="majorBidi" w:hAnsiTheme="majorBidi" w:cstheme="majorBidi"/>
          <w:sz w:val="19"/>
          <w:szCs w:val="19"/>
        </w:rPr>
        <w:t>% compared with 202</w:t>
      </w:r>
      <w:r>
        <w:rPr>
          <w:rFonts w:asciiTheme="majorBidi" w:hAnsiTheme="majorBidi" w:cstheme="majorBidi"/>
          <w:sz w:val="19"/>
          <w:szCs w:val="19"/>
        </w:rPr>
        <w:t>3. The de</w:t>
      </w:r>
      <w:r w:rsidRPr="00B343CC">
        <w:rPr>
          <w:rFonts w:asciiTheme="majorBidi" w:hAnsiTheme="majorBidi" w:cstheme="majorBidi"/>
          <w:sz w:val="19"/>
          <w:szCs w:val="19"/>
        </w:rPr>
        <w:t xml:space="preserve">crease in this surplus was caused mainly by the decrease of the compensations of employees working in Israel, which totaled USD </w:t>
      </w:r>
      <w:r>
        <w:rPr>
          <w:rFonts w:asciiTheme="majorBidi" w:hAnsiTheme="majorBidi" w:cstheme="majorBidi"/>
          <w:sz w:val="19"/>
          <w:szCs w:val="19"/>
        </w:rPr>
        <w:t>423</w:t>
      </w:r>
      <w:r w:rsidRPr="00B343CC">
        <w:rPr>
          <w:rFonts w:asciiTheme="majorBidi" w:hAnsiTheme="majorBidi" w:cstheme="majorBidi"/>
          <w:sz w:val="19"/>
          <w:szCs w:val="19"/>
        </w:rPr>
        <w:t xml:space="preserve"> million, r</w:t>
      </w:r>
      <w:r>
        <w:rPr>
          <w:rFonts w:asciiTheme="majorBidi" w:hAnsiTheme="majorBidi" w:cstheme="majorBidi"/>
          <w:sz w:val="19"/>
          <w:szCs w:val="19"/>
        </w:rPr>
        <w:t>eflecting a</w:t>
      </w:r>
      <w:r w:rsidRPr="00B343CC">
        <w:rPr>
          <w:rFonts w:asciiTheme="majorBidi" w:hAnsiTheme="majorBidi" w:cstheme="majorBidi"/>
          <w:sz w:val="19"/>
          <w:szCs w:val="19"/>
        </w:rPr>
        <w:t xml:space="preserve"> decrease of </w:t>
      </w:r>
      <w:r>
        <w:rPr>
          <w:rFonts w:asciiTheme="majorBidi" w:hAnsiTheme="majorBidi" w:cstheme="majorBidi"/>
          <w:sz w:val="19"/>
          <w:szCs w:val="19"/>
        </w:rPr>
        <w:t>87</w:t>
      </w:r>
      <w:r w:rsidRPr="00B343CC">
        <w:rPr>
          <w:rFonts w:asciiTheme="majorBidi" w:hAnsiTheme="majorBidi" w:cstheme="majorBidi"/>
          <w:sz w:val="19"/>
          <w:szCs w:val="19"/>
        </w:rPr>
        <w:t>% compared with 202</w:t>
      </w:r>
      <w:r>
        <w:rPr>
          <w:rFonts w:asciiTheme="majorBidi" w:hAnsiTheme="majorBidi" w:cstheme="majorBidi"/>
          <w:sz w:val="19"/>
          <w:szCs w:val="19"/>
        </w:rPr>
        <w:t>3</w:t>
      </w:r>
      <w:r w:rsidRPr="00B343CC">
        <w:rPr>
          <w:rFonts w:asciiTheme="majorBidi" w:hAnsiTheme="majorBidi" w:cstheme="majorBidi"/>
          <w:sz w:val="19"/>
          <w:szCs w:val="19"/>
        </w:rPr>
        <w:t xml:space="preserve">. Investment income received from abroad totaled USD </w:t>
      </w:r>
      <w:r>
        <w:rPr>
          <w:rFonts w:asciiTheme="majorBidi" w:hAnsiTheme="majorBidi" w:cstheme="majorBidi"/>
          <w:sz w:val="19"/>
          <w:szCs w:val="19"/>
        </w:rPr>
        <w:t>435</w:t>
      </w:r>
      <w:r w:rsidRPr="00B343CC">
        <w:rPr>
          <w:rFonts w:asciiTheme="majorBidi" w:hAnsiTheme="majorBidi" w:cstheme="majorBidi"/>
          <w:sz w:val="19"/>
          <w:szCs w:val="19"/>
        </w:rPr>
        <w:t xml:space="preserve"> million, reflecting an increase of </w:t>
      </w:r>
      <w:r>
        <w:rPr>
          <w:rFonts w:asciiTheme="majorBidi" w:hAnsiTheme="majorBidi" w:cstheme="majorBidi"/>
          <w:sz w:val="19"/>
          <w:szCs w:val="19"/>
        </w:rPr>
        <w:t>32</w:t>
      </w:r>
      <w:r w:rsidRPr="00B343CC">
        <w:rPr>
          <w:rFonts w:asciiTheme="majorBidi" w:hAnsiTheme="majorBidi" w:cstheme="majorBidi"/>
          <w:sz w:val="19"/>
          <w:szCs w:val="19"/>
        </w:rPr>
        <w:t>% compared with 202</w:t>
      </w:r>
      <w:r>
        <w:rPr>
          <w:rFonts w:asciiTheme="majorBidi" w:hAnsiTheme="majorBidi" w:cstheme="majorBidi"/>
          <w:sz w:val="19"/>
          <w:szCs w:val="19"/>
        </w:rPr>
        <w:t>3</w:t>
      </w:r>
      <w:r w:rsidRPr="00B343CC">
        <w:rPr>
          <w:rFonts w:asciiTheme="majorBidi" w:hAnsiTheme="majorBidi" w:cstheme="majorBidi"/>
          <w:sz w:val="19"/>
          <w:szCs w:val="19"/>
        </w:rPr>
        <w:t xml:space="preserve">. </w:t>
      </w:r>
    </w:p>
    <w:p w14:paraId="6197D7D7" w14:textId="77777777" w:rsidR="0098516E" w:rsidRPr="00B343CC" w:rsidRDefault="0098516E" w:rsidP="0098516E">
      <w:pPr>
        <w:pStyle w:val="ListParagraph"/>
        <w:numPr>
          <w:ilvl w:val="0"/>
          <w:numId w:val="3"/>
        </w:numPr>
        <w:bidi w:val="0"/>
        <w:ind w:left="284" w:hanging="284"/>
        <w:contextualSpacing/>
        <w:jc w:val="both"/>
        <w:rPr>
          <w:rFonts w:asciiTheme="majorBidi" w:hAnsiTheme="majorBidi" w:cstheme="majorBidi"/>
          <w:sz w:val="19"/>
          <w:szCs w:val="19"/>
        </w:rPr>
      </w:pPr>
      <w:r w:rsidRPr="00B343CC">
        <w:rPr>
          <w:rFonts w:asciiTheme="majorBidi" w:hAnsiTheme="majorBidi" w:cstheme="majorBidi"/>
          <w:sz w:val="19"/>
          <w:szCs w:val="19"/>
        </w:rPr>
        <w:t xml:space="preserve">Balance of Current Transfers: The balance of current transfers (voluntary or compulsory, not a result of an economic transaction) recorded a surplus of USD </w:t>
      </w:r>
      <w:r>
        <w:rPr>
          <w:rFonts w:asciiTheme="majorBidi" w:hAnsiTheme="majorBidi" w:cstheme="majorBidi"/>
          <w:sz w:val="19"/>
          <w:szCs w:val="19"/>
        </w:rPr>
        <w:t>1</w:t>
      </w:r>
      <w:r w:rsidRPr="00B343CC">
        <w:rPr>
          <w:rFonts w:asciiTheme="majorBidi" w:hAnsiTheme="majorBidi" w:cstheme="majorBidi"/>
          <w:sz w:val="19"/>
          <w:szCs w:val="19"/>
        </w:rPr>
        <w:t>,</w:t>
      </w:r>
      <w:r>
        <w:rPr>
          <w:rFonts w:asciiTheme="majorBidi" w:hAnsiTheme="majorBidi" w:cstheme="majorBidi"/>
          <w:sz w:val="19"/>
          <w:szCs w:val="19"/>
        </w:rPr>
        <w:t>762</w:t>
      </w:r>
      <w:r w:rsidRPr="00B343CC">
        <w:rPr>
          <w:rFonts w:asciiTheme="majorBidi" w:hAnsiTheme="majorBidi" w:cstheme="majorBidi"/>
          <w:sz w:val="19"/>
          <w:szCs w:val="19"/>
        </w:rPr>
        <w:t xml:space="preserve"> million in 202</w:t>
      </w:r>
      <w:r>
        <w:rPr>
          <w:rFonts w:asciiTheme="majorBidi" w:hAnsiTheme="majorBidi" w:cstheme="majorBidi"/>
          <w:sz w:val="19"/>
          <w:szCs w:val="19"/>
        </w:rPr>
        <w:t>4, reflecting a</w:t>
      </w:r>
      <w:r w:rsidRPr="00B343CC">
        <w:rPr>
          <w:rFonts w:asciiTheme="majorBidi" w:hAnsiTheme="majorBidi" w:cstheme="majorBidi"/>
          <w:sz w:val="19"/>
          <w:szCs w:val="19"/>
        </w:rPr>
        <w:t xml:space="preserve"> decrease of </w:t>
      </w:r>
      <w:r>
        <w:rPr>
          <w:rFonts w:asciiTheme="majorBidi" w:hAnsiTheme="majorBidi" w:cstheme="majorBidi"/>
          <w:sz w:val="19"/>
          <w:szCs w:val="19"/>
        </w:rPr>
        <w:t>5</w:t>
      </w:r>
      <w:r w:rsidRPr="00B343CC">
        <w:rPr>
          <w:rFonts w:asciiTheme="majorBidi" w:hAnsiTheme="majorBidi" w:cstheme="majorBidi"/>
          <w:sz w:val="19"/>
          <w:szCs w:val="19"/>
        </w:rPr>
        <w:t>% compared with 202</w:t>
      </w:r>
      <w:r>
        <w:rPr>
          <w:rFonts w:asciiTheme="majorBidi" w:hAnsiTheme="majorBidi" w:cstheme="majorBidi"/>
          <w:sz w:val="19"/>
          <w:szCs w:val="19"/>
        </w:rPr>
        <w:t>3</w:t>
      </w:r>
      <w:r w:rsidRPr="00B343CC">
        <w:rPr>
          <w:rFonts w:asciiTheme="majorBidi" w:hAnsiTheme="majorBidi" w:cstheme="majorBidi"/>
          <w:sz w:val="19"/>
          <w:szCs w:val="19"/>
        </w:rPr>
        <w:t xml:space="preserve">, current transfers by donors represented </w:t>
      </w:r>
      <w:r>
        <w:rPr>
          <w:rFonts w:asciiTheme="majorBidi" w:hAnsiTheme="majorBidi" w:cstheme="majorBidi"/>
          <w:sz w:val="19"/>
          <w:szCs w:val="19"/>
        </w:rPr>
        <w:t>50</w:t>
      </w:r>
      <w:r w:rsidRPr="00B343CC">
        <w:rPr>
          <w:rFonts w:asciiTheme="majorBidi" w:hAnsiTheme="majorBidi" w:cstheme="majorBidi"/>
          <w:sz w:val="19"/>
          <w:szCs w:val="19"/>
        </w:rPr>
        <w:t>% of the total value of receipts from abroad (inflows to Palestine)</w:t>
      </w:r>
    </w:p>
    <w:p w14:paraId="194043F3" w14:textId="77777777" w:rsidR="0098516E" w:rsidRPr="00B343CC" w:rsidRDefault="0098516E" w:rsidP="0098516E">
      <w:pPr>
        <w:pStyle w:val="Title"/>
        <w:ind w:left="-210" w:firstLine="210"/>
        <w:jc w:val="left"/>
        <w:rPr>
          <w:sz w:val="20"/>
          <w:szCs w:val="20"/>
        </w:rPr>
      </w:pPr>
    </w:p>
    <w:p w14:paraId="517B89E2" w14:textId="77777777" w:rsidR="0098516E" w:rsidRPr="00B343CC" w:rsidRDefault="0098516E" w:rsidP="0098516E">
      <w:pPr>
        <w:pStyle w:val="Title"/>
        <w:ind w:left="-210" w:firstLine="210"/>
        <w:jc w:val="left"/>
        <w:rPr>
          <w:sz w:val="20"/>
          <w:szCs w:val="20"/>
        </w:rPr>
      </w:pPr>
      <w:r w:rsidRPr="00B343CC">
        <w:rPr>
          <w:sz w:val="20"/>
          <w:szCs w:val="20"/>
        </w:rPr>
        <w:t>Capital and Financial Account:</w:t>
      </w:r>
    </w:p>
    <w:p w14:paraId="0B657D52" w14:textId="77777777" w:rsidR="0098516E" w:rsidRPr="00B343CC" w:rsidRDefault="0098516E" w:rsidP="0098516E">
      <w:pPr>
        <w:pStyle w:val="ListParagraph"/>
        <w:numPr>
          <w:ilvl w:val="0"/>
          <w:numId w:val="3"/>
        </w:numPr>
        <w:bidi w:val="0"/>
        <w:ind w:left="284" w:hanging="284"/>
        <w:contextualSpacing/>
        <w:jc w:val="both"/>
        <w:rPr>
          <w:rFonts w:asciiTheme="majorBidi" w:hAnsiTheme="majorBidi" w:cstheme="majorBidi"/>
          <w:sz w:val="19"/>
          <w:szCs w:val="19"/>
        </w:rPr>
      </w:pPr>
      <w:r w:rsidRPr="00B343CC">
        <w:rPr>
          <w:rFonts w:asciiTheme="majorBidi" w:hAnsiTheme="majorBidi" w:cstheme="majorBidi"/>
          <w:sz w:val="19"/>
          <w:szCs w:val="19"/>
        </w:rPr>
        <w:t xml:space="preserve">This account recorded a surplus of USD </w:t>
      </w:r>
      <w:r>
        <w:rPr>
          <w:rFonts w:asciiTheme="majorBidi" w:hAnsiTheme="majorBidi" w:cstheme="majorBidi"/>
          <w:sz w:val="19"/>
          <w:szCs w:val="19"/>
        </w:rPr>
        <w:t>1</w:t>
      </w:r>
      <w:r w:rsidRPr="00B343CC">
        <w:rPr>
          <w:rFonts w:asciiTheme="majorBidi" w:hAnsiTheme="majorBidi" w:cstheme="majorBidi"/>
          <w:sz w:val="19"/>
          <w:szCs w:val="19"/>
        </w:rPr>
        <w:t>,</w:t>
      </w:r>
      <w:r>
        <w:rPr>
          <w:rFonts w:asciiTheme="majorBidi" w:hAnsiTheme="majorBidi" w:cstheme="majorBidi"/>
          <w:sz w:val="19"/>
          <w:szCs w:val="19"/>
        </w:rPr>
        <w:t>700</w:t>
      </w:r>
      <w:r w:rsidRPr="00B343CC">
        <w:rPr>
          <w:rFonts w:asciiTheme="majorBidi" w:hAnsiTheme="majorBidi" w:cstheme="majorBidi"/>
          <w:sz w:val="19"/>
          <w:szCs w:val="19"/>
        </w:rPr>
        <w:t xml:space="preserve"> million in 202</w:t>
      </w:r>
      <w:r>
        <w:rPr>
          <w:rFonts w:asciiTheme="majorBidi" w:hAnsiTheme="majorBidi" w:cstheme="majorBidi"/>
          <w:sz w:val="19"/>
          <w:szCs w:val="19"/>
        </w:rPr>
        <w:t>4</w:t>
      </w:r>
      <w:r w:rsidRPr="00B343CC">
        <w:rPr>
          <w:rFonts w:asciiTheme="majorBidi" w:hAnsiTheme="majorBidi" w:cstheme="majorBidi"/>
          <w:sz w:val="19"/>
          <w:szCs w:val="19"/>
        </w:rPr>
        <w:t xml:space="preserve">, mainly due to the surplus in the financial account (direct investments, portfolio investments, other investments and reserve </w:t>
      </w:r>
      <w:r w:rsidRPr="00B343CC">
        <w:rPr>
          <w:rFonts w:asciiTheme="majorBidi" w:hAnsiTheme="majorBidi" w:cstheme="majorBidi"/>
          <w:sz w:val="19"/>
          <w:szCs w:val="19"/>
        </w:rPr>
        <w:lastRenderedPageBreak/>
        <w:t xml:space="preserve">assets), which totaled USD </w:t>
      </w:r>
      <w:r>
        <w:rPr>
          <w:rFonts w:asciiTheme="majorBidi" w:hAnsiTheme="majorBidi" w:cstheme="majorBidi"/>
          <w:sz w:val="19"/>
          <w:szCs w:val="19"/>
        </w:rPr>
        <w:t>969</w:t>
      </w:r>
      <w:r w:rsidRPr="00B343CC">
        <w:rPr>
          <w:rFonts w:asciiTheme="majorBidi" w:hAnsiTheme="majorBidi" w:cstheme="majorBidi"/>
          <w:sz w:val="19"/>
          <w:szCs w:val="19"/>
        </w:rPr>
        <w:t xml:space="preserve"> million as a result of the surplus in currency and deposits in other investments, while the capital account achieved a surplus of USD </w:t>
      </w:r>
      <w:r>
        <w:rPr>
          <w:rFonts w:asciiTheme="majorBidi" w:hAnsiTheme="majorBidi" w:cstheme="majorBidi"/>
          <w:sz w:val="19"/>
          <w:szCs w:val="19"/>
        </w:rPr>
        <w:t>731</w:t>
      </w:r>
      <w:r w:rsidRPr="00B343CC">
        <w:rPr>
          <w:rFonts w:asciiTheme="majorBidi" w:hAnsiTheme="majorBidi" w:cstheme="majorBidi"/>
          <w:sz w:val="19"/>
          <w:szCs w:val="19"/>
        </w:rPr>
        <w:t xml:space="preserve"> million. </w:t>
      </w:r>
    </w:p>
    <w:p w14:paraId="12C7B7CF" w14:textId="77777777" w:rsidR="00E958DE" w:rsidRPr="00927676" w:rsidRDefault="00E958DE" w:rsidP="00E958DE">
      <w:pPr>
        <w:bidi w:val="0"/>
      </w:pPr>
    </w:p>
    <w:p w14:paraId="12E3437D" w14:textId="77777777" w:rsidR="00E958DE" w:rsidRPr="00927676" w:rsidRDefault="00E958DE" w:rsidP="00E958DE">
      <w:pPr>
        <w:pStyle w:val="Title"/>
        <w:tabs>
          <w:tab w:val="right" w:pos="308"/>
        </w:tabs>
        <w:jc w:val="left"/>
        <w:rPr>
          <w:sz w:val="20"/>
          <w:szCs w:val="20"/>
        </w:rPr>
      </w:pPr>
      <w:r w:rsidRPr="00927676">
        <w:rPr>
          <w:sz w:val="20"/>
          <w:szCs w:val="20"/>
        </w:rPr>
        <w:t>3.3.3 International Investment Position</w:t>
      </w:r>
    </w:p>
    <w:p w14:paraId="33A0CA3C"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International Investment Position (external assets – foreign liabilities) for Palestine at the end of 2024 revealed that the net IIP amounted to about USD 6,717 million.</w:t>
      </w:r>
    </w:p>
    <w:p w14:paraId="3A7B1FA3"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The total stocks of External Assets for Palestine amounted to USD 12,853 million, the Foreign Direct Investment </w:t>
      </w:r>
      <w:r>
        <w:rPr>
          <w:rFonts w:asciiTheme="majorBidi" w:hAnsiTheme="majorBidi" w:cstheme="majorBidi"/>
          <w:sz w:val="19"/>
          <w:szCs w:val="19"/>
        </w:rPr>
        <w:t>A</w:t>
      </w:r>
      <w:r w:rsidRPr="00927676">
        <w:rPr>
          <w:rFonts w:asciiTheme="majorBidi" w:hAnsiTheme="majorBidi" w:cstheme="majorBidi"/>
          <w:sz w:val="19"/>
          <w:szCs w:val="19"/>
        </w:rPr>
        <w:t xml:space="preserve">broad contributed to 2%, Portfolio Investments </w:t>
      </w:r>
      <w:r>
        <w:rPr>
          <w:rFonts w:asciiTheme="majorBidi" w:hAnsiTheme="majorBidi" w:cstheme="majorBidi"/>
          <w:sz w:val="19"/>
          <w:szCs w:val="19"/>
        </w:rPr>
        <w:t>A</w:t>
      </w:r>
      <w:r w:rsidRPr="00927676">
        <w:rPr>
          <w:rFonts w:asciiTheme="majorBidi" w:hAnsiTheme="majorBidi" w:cstheme="majorBidi"/>
          <w:sz w:val="19"/>
          <w:szCs w:val="19"/>
        </w:rPr>
        <w:t xml:space="preserve">broad reached 14%, while Other Foreign Investments </w:t>
      </w:r>
      <w:r>
        <w:rPr>
          <w:rFonts w:asciiTheme="majorBidi" w:hAnsiTheme="majorBidi" w:cstheme="majorBidi"/>
          <w:sz w:val="19"/>
          <w:szCs w:val="19"/>
        </w:rPr>
        <w:t>A</w:t>
      </w:r>
      <w:r w:rsidRPr="00927676">
        <w:rPr>
          <w:rFonts w:asciiTheme="majorBidi" w:hAnsiTheme="majorBidi" w:cstheme="majorBidi"/>
          <w:sz w:val="19"/>
          <w:szCs w:val="19"/>
        </w:rPr>
        <w:t>broad (mainly currency and deposits) reached 74%</w:t>
      </w:r>
      <w:r>
        <w:rPr>
          <w:rFonts w:asciiTheme="majorBidi" w:hAnsiTheme="majorBidi" w:cstheme="majorBidi"/>
          <w:sz w:val="19"/>
          <w:szCs w:val="19"/>
        </w:rPr>
        <w:t>,</w:t>
      </w:r>
      <w:r w:rsidRPr="00927676">
        <w:rPr>
          <w:rFonts w:asciiTheme="majorBidi" w:hAnsiTheme="majorBidi" w:cstheme="majorBidi"/>
          <w:sz w:val="19"/>
          <w:szCs w:val="19"/>
        </w:rPr>
        <w:t xml:space="preserve"> and Reserve Assets amounted to 10%.  </w:t>
      </w:r>
    </w:p>
    <w:p w14:paraId="207980C4"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At sector level, the external investments of banks sector represented a large share of the external assets, standing at 66% of the total value of external assets.</w:t>
      </w:r>
    </w:p>
    <w:p w14:paraId="704D9CCB"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The total stocks of Foreign Liabilities in Palestine (Stocks of non-residents invested in Palestine) amounted to USD </w:t>
      </w:r>
      <w:r w:rsidRPr="00927676">
        <w:rPr>
          <w:rFonts w:asciiTheme="majorBidi" w:hAnsiTheme="majorBidi" w:cstheme="majorBidi"/>
          <w:sz w:val="19"/>
          <w:szCs w:val="19"/>
          <w:rtl/>
        </w:rPr>
        <w:t>6</w:t>
      </w:r>
      <w:r w:rsidRPr="00927676">
        <w:rPr>
          <w:rFonts w:asciiTheme="majorBidi" w:hAnsiTheme="majorBidi" w:cstheme="majorBidi"/>
          <w:sz w:val="19"/>
          <w:szCs w:val="19"/>
        </w:rPr>
        <w:t xml:space="preserve">,136 million. </w:t>
      </w:r>
    </w:p>
    <w:p w14:paraId="6C84FD6C"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The Foreign Direct Investment in Palestine contributed to </w:t>
      </w:r>
      <w:r w:rsidRPr="00927676">
        <w:rPr>
          <w:rFonts w:asciiTheme="majorBidi" w:hAnsiTheme="majorBidi" w:cstheme="majorBidi"/>
          <w:sz w:val="19"/>
          <w:szCs w:val="19"/>
          <w:rtl/>
        </w:rPr>
        <w:t>5</w:t>
      </w:r>
      <w:r w:rsidRPr="00927676">
        <w:rPr>
          <w:rFonts w:asciiTheme="majorBidi" w:hAnsiTheme="majorBidi" w:cstheme="majorBidi"/>
          <w:sz w:val="19"/>
          <w:szCs w:val="19"/>
        </w:rPr>
        <w:t xml:space="preserve">6%, Portfolio Investments in Palestine reached </w:t>
      </w:r>
      <w:r w:rsidRPr="00927676">
        <w:rPr>
          <w:rFonts w:asciiTheme="majorBidi" w:hAnsiTheme="majorBidi" w:cstheme="majorBidi"/>
          <w:sz w:val="19"/>
          <w:szCs w:val="19"/>
          <w:rtl/>
        </w:rPr>
        <w:t>1</w:t>
      </w:r>
      <w:r w:rsidRPr="00927676">
        <w:rPr>
          <w:rFonts w:asciiTheme="majorBidi" w:hAnsiTheme="majorBidi" w:cstheme="majorBidi"/>
          <w:sz w:val="19"/>
          <w:szCs w:val="19"/>
        </w:rPr>
        <w:t>0%</w:t>
      </w:r>
      <w:r>
        <w:rPr>
          <w:rFonts w:asciiTheme="majorBidi" w:hAnsiTheme="majorBidi" w:cstheme="majorBidi"/>
          <w:sz w:val="19"/>
          <w:szCs w:val="19"/>
        </w:rPr>
        <w:t>,</w:t>
      </w:r>
      <w:r w:rsidRPr="00927676">
        <w:rPr>
          <w:rFonts w:asciiTheme="majorBidi" w:hAnsiTheme="majorBidi" w:cstheme="majorBidi"/>
          <w:sz w:val="19"/>
          <w:szCs w:val="19"/>
        </w:rPr>
        <w:t xml:space="preserve"> and Other Investments in Palestine (mainly loans and deposits from abroad) amounted to </w:t>
      </w:r>
      <w:r w:rsidRPr="00927676">
        <w:rPr>
          <w:rFonts w:asciiTheme="majorBidi" w:hAnsiTheme="majorBidi" w:cstheme="majorBidi"/>
          <w:sz w:val="19"/>
          <w:szCs w:val="19"/>
          <w:rtl/>
        </w:rPr>
        <w:t>3</w:t>
      </w:r>
      <w:r w:rsidRPr="00927676">
        <w:rPr>
          <w:rFonts w:asciiTheme="majorBidi" w:hAnsiTheme="majorBidi" w:cstheme="majorBidi"/>
          <w:sz w:val="19"/>
          <w:szCs w:val="19"/>
        </w:rPr>
        <w:t>4%.  According to sectoral level, the foreign investments in banks sector contributed with a major value in the foreign liabilities, represented by 33% of the total value of foreign liabilities on the Palestinian economy.</w:t>
      </w:r>
    </w:p>
    <w:p w14:paraId="44FB04CE" w14:textId="77777777" w:rsidR="00E958DE" w:rsidRPr="00927676" w:rsidRDefault="00E958DE" w:rsidP="00E958DE">
      <w:pPr>
        <w:pStyle w:val="BodyText2"/>
        <w:rPr>
          <w:b w:val="0"/>
          <w:bCs w:val="0"/>
          <w:sz w:val="20"/>
          <w:szCs w:val="20"/>
        </w:rPr>
      </w:pPr>
    </w:p>
    <w:p w14:paraId="6CF43451" w14:textId="77777777" w:rsidR="00E958DE" w:rsidRPr="00927676" w:rsidRDefault="00E958DE" w:rsidP="00E958DE">
      <w:pPr>
        <w:bidi w:val="0"/>
        <w:rPr>
          <w:rFonts w:cs="Times New Roman"/>
          <w:b/>
          <w:bCs/>
          <w:rtl/>
        </w:rPr>
      </w:pPr>
      <w:r w:rsidRPr="00927676">
        <w:rPr>
          <w:rFonts w:cs="Times New Roman"/>
          <w:b/>
          <w:bCs/>
        </w:rPr>
        <w:t>3.3.4 External Debt</w:t>
      </w:r>
    </w:p>
    <w:p w14:paraId="6F87ED53"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Gross External Debt on different sectors of the Palestinian economy reached USD 2,081 million</w:t>
      </w:r>
      <w:r w:rsidRPr="00927676">
        <w:rPr>
          <w:rFonts w:asciiTheme="majorBidi" w:hAnsiTheme="majorBidi" w:cstheme="majorBidi"/>
          <w:sz w:val="19"/>
          <w:szCs w:val="19"/>
          <w:rtl/>
        </w:rPr>
        <w:t xml:space="preserve"> </w:t>
      </w:r>
      <w:r>
        <w:rPr>
          <w:rFonts w:asciiTheme="majorBidi" w:hAnsiTheme="majorBidi" w:cstheme="majorBidi"/>
          <w:sz w:val="19"/>
          <w:szCs w:val="19"/>
        </w:rPr>
        <w:t xml:space="preserve">with a </w:t>
      </w:r>
      <w:r w:rsidRPr="00927676">
        <w:rPr>
          <w:rFonts w:asciiTheme="majorBidi" w:hAnsiTheme="majorBidi" w:cstheme="majorBidi"/>
          <w:sz w:val="19"/>
          <w:szCs w:val="19"/>
        </w:rPr>
        <w:t xml:space="preserve">decrease </w:t>
      </w:r>
      <w:r>
        <w:rPr>
          <w:rFonts w:asciiTheme="majorBidi" w:hAnsiTheme="majorBidi" w:cstheme="majorBidi"/>
          <w:sz w:val="19"/>
          <w:szCs w:val="19"/>
        </w:rPr>
        <w:t>of</w:t>
      </w:r>
      <w:r w:rsidRPr="00927676">
        <w:rPr>
          <w:rFonts w:asciiTheme="majorBidi" w:hAnsiTheme="majorBidi" w:cstheme="majorBidi"/>
          <w:sz w:val="19"/>
          <w:szCs w:val="19"/>
        </w:rPr>
        <w:t xml:space="preserve"> 3% compared with </w:t>
      </w:r>
      <w:r>
        <w:rPr>
          <w:rFonts w:asciiTheme="majorBidi" w:hAnsiTheme="majorBidi" w:cstheme="majorBidi"/>
          <w:sz w:val="19"/>
          <w:szCs w:val="19"/>
        </w:rPr>
        <w:t xml:space="preserve">the </w:t>
      </w:r>
      <w:r w:rsidRPr="00927676">
        <w:rPr>
          <w:rFonts w:asciiTheme="majorBidi" w:hAnsiTheme="majorBidi" w:cstheme="majorBidi"/>
          <w:sz w:val="19"/>
          <w:szCs w:val="19"/>
        </w:rPr>
        <w:t xml:space="preserve">previous year.  </w:t>
      </w:r>
    </w:p>
    <w:p w14:paraId="4CA88A8E"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debt on government sector represented 63%, while debt on banks sector reached 34%, and debt on other sectors (Nonbank financial corporations, non-financial corporations, NGOs</w:t>
      </w:r>
      <w:r>
        <w:rPr>
          <w:rFonts w:asciiTheme="majorBidi" w:hAnsiTheme="majorBidi" w:cstheme="majorBidi"/>
          <w:sz w:val="19"/>
          <w:szCs w:val="19"/>
        </w:rPr>
        <w:t>,</w:t>
      </w:r>
      <w:r w:rsidRPr="00927676">
        <w:rPr>
          <w:rFonts w:asciiTheme="majorBidi" w:hAnsiTheme="majorBidi" w:cstheme="majorBidi"/>
          <w:sz w:val="19"/>
          <w:szCs w:val="19"/>
        </w:rPr>
        <w:t xml:space="preserve"> and households sectors) amounted to 2%, and the lending between affiliated companies reached 1%.</w:t>
      </w:r>
    </w:p>
    <w:p w14:paraId="7232AE91" w14:textId="77777777" w:rsidR="00A54B2E" w:rsidRPr="00B343CC" w:rsidRDefault="00251DCC" w:rsidP="002F4F1C">
      <w:pPr>
        <w:bidi w:val="0"/>
      </w:pPr>
      <w:r w:rsidRPr="00B343CC">
        <w:rPr>
          <w:b/>
          <w:bCs/>
        </w:rPr>
        <w:br w:type="page"/>
      </w:r>
    </w:p>
    <w:p w14:paraId="1D5FE56B" w14:textId="77777777" w:rsidR="00A54B2E" w:rsidRPr="00B343CC" w:rsidRDefault="00A54B2E" w:rsidP="00323AE5">
      <w:pPr>
        <w:pStyle w:val="Title"/>
        <w:jc w:val="left"/>
        <w:sectPr w:rsidR="00A54B2E" w:rsidRPr="00B343CC" w:rsidSect="006B3D25">
          <w:footerReference w:type="default" r:id="rId43"/>
          <w:endnotePr>
            <w:numFmt w:val="lowerLetter"/>
          </w:endnotePr>
          <w:pgSz w:w="9639" w:h="13608" w:code="9"/>
          <w:pgMar w:top="1134" w:right="1134" w:bottom="1134" w:left="1134" w:header="567" w:footer="567" w:gutter="0"/>
          <w:cols w:space="720"/>
          <w:bidi/>
          <w:rtlGutter/>
          <w:docGrid w:linePitch="272"/>
        </w:sectPr>
      </w:pPr>
    </w:p>
    <w:p w14:paraId="6522F61D" w14:textId="4EB1F66A" w:rsidR="00656665" w:rsidRDefault="00656665">
      <w:pPr>
        <w:bidi w:val="0"/>
        <w:rPr>
          <w:rFonts w:cs="Times New Roman"/>
          <w:b/>
          <w:bCs/>
          <w:sz w:val="24"/>
          <w:szCs w:val="24"/>
        </w:rPr>
      </w:pPr>
    </w:p>
    <w:p w14:paraId="02F0ED5A" w14:textId="3B41C4AD" w:rsidR="00CC3DE0" w:rsidRPr="00B343CC" w:rsidRDefault="00CC3DE0" w:rsidP="00323AE5">
      <w:pPr>
        <w:pStyle w:val="Title"/>
        <w:rPr>
          <w:sz w:val="24"/>
          <w:szCs w:val="24"/>
        </w:rPr>
      </w:pPr>
      <w:r w:rsidRPr="00B343CC">
        <w:rPr>
          <w:sz w:val="24"/>
          <w:szCs w:val="24"/>
        </w:rPr>
        <w:t>Palestinians in the Occupied Palestinian</w:t>
      </w:r>
    </w:p>
    <w:p w14:paraId="6FCE4100" w14:textId="52B79434" w:rsidR="00CC3DE0" w:rsidRPr="00B343CC" w:rsidRDefault="00CC3DE0" w:rsidP="000F5ABF">
      <w:pPr>
        <w:pStyle w:val="Title"/>
        <w:rPr>
          <w:sz w:val="24"/>
          <w:szCs w:val="24"/>
        </w:rPr>
      </w:pPr>
      <w:r w:rsidRPr="00B343CC">
        <w:rPr>
          <w:sz w:val="24"/>
          <w:szCs w:val="24"/>
        </w:rPr>
        <w:t>Territory in 1948</w:t>
      </w:r>
    </w:p>
    <w:p w14:paraId="56A09CC1" w14:textId="77777777" w:rsidR="00CC3DE0" w:rsidRPr="00B343CC" w:rsidRDefault="00CC3DE0" w:rsidP="00323AE5">
      <w:pPr>
        <w:pStyle w:val="BodyText"/>
        <w:rPr>
          <w:rFonts w:cs="Times New Roman"/>
          <w:sz w:val="16"/>
          <w:szCs w:val="16"/>
        </w:rPr>
      </w:pPr>
    </w:p>
    <w:p w14:paraId="49530306" w14:textId="77777777" w:rsidR="00E958DE" w:rsidRPr="00927676" w:rsidRDefault="00E958DE" w:rsidP="00E958DE">
      <w:pPr>
        <w:pStyle w:val="BodyText"/>
        <w:rPr>
          <w:rFonts w:cs="Times New Roman"/>
          <w:sz w:val="19"/>
          <w:szCs w:val="19"/>
        </w:rPr>
      </w:pPr>
      <w:r w:rsidRPr="00927676">
        <w:rPr>
          <w:rFonts w:cs="Times New Roman"/>
          <w:sz w:val="19"/>
          <w:szCs w:val="19"/>
        </w:rPr>
        <w:t>Palestine Catastrophe (Nakba) of 1948 resulted in the occupation of more than three quarters of Palestine. Thus, Israel was established on that part of Palestine occupied in 1948, which represents 78% of historical Palestine. The Palestinian population</w:t>
      </w:r>
      <w:r>
        <w:rPr>
          <w:rFonts w:cs="Times New Roman"/>
          <w:sz w:val="19"/>
          <w:szCs w:val="19"/>
        </w:rPr>
        <w:t>,</w:t>
      </w:r>
      <w:r w:rsidRPr="00927676">
        <w:rPr>
          <w:rFonts w:cs="Times New Roman"/>
          <w:sz w:val="19"/>
          <w:szCs w:val="19"/>
        </w:rPr>
        <w:t xml:space="preserve"> who remained in their homeland</w:t>
      </w:r>
      <w:r>
        <w:rPr>
          <w:rFonts w:cs="Times New Roman"/>
          <w:sz w:val="19"/>
          <w:szCs w:val="19"/>
        </w:rPr>
        <w:t>,</w:t>
      </w:r>
      <w:r w:rsidRPr="00927676">
        <w:rPr>
          <w:rFonts w:cs="Times New Roman"/>
          <w:sz w:val="19"/>
          <w:szCs w:val="19"/>
        </w:rPr>
        <w:t xml:space="preserve"> came under direct and complete Israeli sovereignty. They were considered Israeli citizens and were subject to various policies and practices that sought to obliterate the Palestinian identity and culture. </w:t>
      </w:r>
    </w:p>
    <w:p w14:paraId="10A7E6D5" w14:textId="77777777" w:rsidR="00E958DE" w:rsidRPr="00927676" w:rsidRDefault="00E958DE" w:rsidP="00E958DE">
      <w:pPr>
        <w:pStyle w:val="BodyText"/>
        <w:rPr>
          <w:rFonts w:cs="Times New Roman"/>
          <w:sz w:val="19"/>
          <w:szCs w:val="19"/>
        </w:rPr>
      </w:pPr>
    </w:p>
    <w:p w14:paraId="144F3134" w14:textId="77777777" w:rsidR="00E958DE" w:rsidRPr="00927676" w:rsidRDefault="00E958DE" w:rsidP="00E958DE">
      <w:pPr>
        <w:bidi w:val="0"/>
        <w:jc w:val="lowKashida"/>
        <w:rPr>
          <w:rFonts w:cs="Times New Roman"/>
          <w:sz w:val="19"/>
          <w:szCs w:val="19"/>
        </w:rPr>
      </w:pPr>
      <w:r w:rsidRPr="00927676">
        <w:rPr>
          <w:rFonts w:cs="Times New Roman"/>
          <w:sz w:val="19"/>
          <w:szCs w:val="19"/>
        </w:rPr>
        <w:t>Statistically speaking, all data on Palestinians living in this part of historical Palestine</w:t>
      </w:r>
      <w:r>
        <w:rPr>
          <w:rFonts w:cs="Times New Roman"/>
          <w:sz w:val="19"/>
          <w:szCs w:val="19"/>
        </w:rPr>
        <w:t>,</w:t>
      </w:r>
      <w:r w:rsidRPr="00927676">
        <w:rPr>
          <w:rFonts w:cs="Times New Roman"/>
          <w:sz w:val="19"/>
          <w:szCs w:val="19"/>
        </w:rPr>
        <w:t xml:space="preserve"> occupied in 1948</w:t>
      </w:r>
      <w:r>
        <w:rPr>
          <w:rFonts w:cs="Times New Roman"/>
          <w:sz w:val="19"/>
          <w:szCs w:val="19"/>
        </w:rPr>
        <w:t>,</w:t>
      </w:r>
      <w:r w:rsidRPr="00927676">
        <w:rPr>
          <w:rFonts w:cs="Times New Roman"/>
          <w:sz w:val="19"/>
          <w:szCs w:val="19"/>
        </w:rPr>
        <w:t xml:space="preserve"> were considered part of the Israeli statistical system. Thus, all Israeli statistical issues and publications include data on the Palestinian population.</w:t>
      </w:r>
    </w:p>
    <w:p w14:paraId="3D1F57BB" w14:textId="77777777" w:rsidR="00E958DE" w:rsidRPr="00927676" w:rsidRDefault="00E958DE" w:rsidP="00E958DE">
      <w:pPr>
        <w:pStyle w:val="BodyText"/>
        <w:rPr>
          <w:rFonts w:cs="Times New Roman"/>
          <w:sz w:val="19"/>
          <w:szCs w:val="19"/>
        </w:rPr>
      </w:pPr>
      <w:r w:rsidRPr="00927676">
        <w:rPr>
          <w:rFonts w:cs="Times New Roman"/>
          <w:sz w:val="19"/>
          <w:szCs w:val="19"/>
        </w:rPr>
        <w:t xml:space="preserve"> </w:t>
      </w:r>
    </w:p>
    <w:p w14:paraId="7675717A" w14:textId="77777777" w:rsidR="00E958DE" w:rsidRPr="00927676" w:rsidRDefault="00E958DE" w:rsidP="00E958DE">
      <w:pPr>
        <w:bidi w:val="0"/>
        <w:jc w:val="lowKashida"/>
        <w:rPr>
          <w:rFonts w:cs="Times New Roman"/>
          <w:sz w:val="19"/>
          <w:szCs w:val="19"/>
        </w:rPr>
      </w:pPr>
      <w:r w:rsidRPr="00927676">
        <w:rPr>
          <w:rFonts w:cs="Times New Roman"/>
          <w:sz w:val="19"/>
          <w:szCs w:val="19"/>
        </w:rPr>
        <w:t>The Palestinian Central Bureau of Statistics strove hard to compile, tabulate</w:t>
      </w:r>
      <w:r>
        <w:rPr>
          <w:rFonts w:cs="Times New Roman"/>
          <w:sz w:val="19"/>
          <w:szCs w:val="19"/>
        </w:rPr>
        <w:t>,</w:t>
      </w:r>
      <w:r w:rsidRPr="00927676">
        <w:rPr>
          <w:rFonts w:cs="Times New Roman"/>
          <w:sz w:val="19"/>
          <w:szCs w:val="19"/>
        </w:rPr>
        <w:t xml:space="preserve"> and disseminate statistical data on the Palestinians living in Israel despite the difficulties, including the scarcity of separate data available on those Palestinians, in addition to the complications associated with compiling statistical data about them. </w:t>
      </w:r>
    </w:p>
    <w:p w14:paraId="128F5FA4" w14:textId="77777777" w:rsidR="00E958DE" w:rsidRPr="00927676" w:rsidRDefault="00E958DE" w:rsidP="00E958DE">
      <w:pPr>
        <w:pStyle w:val="BodyText"/>
        <w:rPr>
          <w:rFonts w:cs="Times New Roman"/>
          <w:sz w:val="19"/>
          <w:szCs w:val="19"/>
        </w:rPr>
      </w:pPr>
    </w:p>
    <w:p w14:paraId="2154D60B" w14:textId="77777777" w:rsidR="00E958DE" w:rsidRPr="00927676" w:rsidRDefault="00E958DE" w:rsidP="00E958DE">
      <w:pPr>
        <w:bidi w:val="0"/>
        <w:jc w:val="lowKashida"/>
        <w:rPr>
          <w:rFonts w:cs="Times New Roman"/>
          <w:sz w:val="19"/>
          <w:szCs w:val="19"/>
        </w:rPr>
      </w:pPr>
      <w:r w:rsidRPr="00927676">
        <w:rPr>
          <w:rFonts w:cs="Times New Roman"/>
          <w:sz w:val="19"/>
          <w:szCs w:val="19"/>
        </w:rPr>
        <w:t xml:space="preserve">Nevertheless, </w:t>
      </w:r>
      <w:r>
        <w:rPr>
          <w:rFonts w:cs="Times New Roman"/>
          <w:sz w:val="19"/>
          <w:szCs w:val="19"/>
        </w:rPr>
        <w:t xml:space="preserve">the </w:t>
      </w:r>
      <w:r w:rsidRPr="00927676">
        <w:rPr>
          <w:rFonts w:cs="Times New Roman"/>
          <w:sz w:val="19"/>
          <w:szCs w:val="19"/>
        </w:rPr>
        <w:t>data disseminated in this chapter constitute a general statistical diagnosis of the Palestinian reality in Israel. This chapter presents statistics on the Palestinians in Israel</w:t>
      </w:r>
      <w:r>
        <w:rPr>
          <w:rFonts w:cs="Times New Roman"/>
          <w:sz w:val="19"/>
          <w:szCs w:val="19"/>
        </w:rPr>
        <w:t>,</w:t>
      </w:r>
      <w:r w:rsidRPr="00927676">
        <w:rPr>
          <w:rFonts w:cs="Times New Roman"/>
          <w:sz w:val="19"/>
          <w:szCs w:val="19"/>
        </w:rPr>
        <w:t xml:space="preserve"> including demographic, educational</w:t>
      </w:r>
      <w:r>
        <w:rPr>
          <w:rFonts w:cs="Times New Roman"/>
          <w:sz w:val="19"/>
          <w:szCs w:val="19"/>
        </w:rPr>
        <w:t>,</w:t>
      </w:r>
      <w:r w:rsidRPr="00927676">
        <w:rPr>
          <w:rFonts w:cs="Times New Roman"/>
          <w:sz w:val="19"/>
          <w:szCs w:val="19"/>
        </w:rPr>
        <w:t xml:space="preserve"> and labor force characteristics. It is worth noting that </w:t>
      </w:r>
      <w:r>
        <w:rPr>
          <w:rFonts w:cs="Times New Roman"/>
          <w:sz w:val="19"/>
          <w:szCs w:val="19"/>
        </w:rPr>
        <w:t>these</w:t>
      </w:r>
      <w:r w:rsidRPr="00927676">
        <w:rPr>
          <w:rFonts w:cs="Times New Roman"/>
          <w:sz w:val="19"/>
          <w:szCs w:val="19"/>
        </w:rPr>
        <w:t xml:space="preserve"> statistics are derived from the reality of living conditions in Israel. Thus, any possible comparisons for any of the statistical indicators should be made with those pertinent to the population in Israel and not with the Palestinians in other places. Some changes occurred in the data </w:t>
      </w:r>
      <w:r>
        <w:rPr>
          <w:rFonts w:cs="Times New Roman"/>
          <w:sz w:val="19"/>
          <w:szCs w:val="19"/>
        </w:rPr>
        <w:t>in</w:t>
      </w:r>
      <w:r w:rsidRPr="00927676">
        <w:rPr>
          <w:rFonts w:cs="Times New Roman"/>
          <w:sz w:val="19"/>
          <w:szCs w:val="19"/>
        </w:rPr>
        <w:t xml:space="preserve"> this chapter </w:t>
      </w:r>
      <w:r>
        <w:rPr>
          <w:rFonts w:cs="Times New Roman"/>
          <w:sz w:val="19"/>
          <w:szCs w:val="19"/>
        </w:rPr>
        <w:t>due</w:t>
      </w:r>
      <w:r w:rsidRPr="00927676">
        <w:rPr>
          <w:rFonts w:cs="Times New Roman"/>
          <w:sz w:val="19"/>
          <w:szCs w:val="19"/>
        </w:rPr>
        <w:t xml:space="preserve"> to revision</w:t>
      </w:r>
      <w:r>
        <w:rPr>
          <w:rFonts w:cs="Times New Roman"/>
          <w:sz w:val="19"/>
          <w:szCs w:val="19"/>
        </w:rPr>
        <w:t>s</w:t>
      </w:r>
      <w:r w:rsidRPr="00927676">
        <w:rPr>
          <w:rFonts w:cs="Times New Roman"/>
          <w:sz w:val="19"/>
          <w:szCs w:val="19"/>
        </w:rPr>
        <w:t xml:space="preserve"> and modification</w:t>
      </w:r>
      <w:r>
        <w:rPr>
          <w:rFonts w:cs="Times New Roman"/>
          <w:sz w:val="19"/>
          <w:szCs w:val="19"/>
        </w:rPr>
        <w:t>s</w:t>
      </w:r>
      <w:r w:rsidRPr="00927676">
        <w:rPr>
          <w:rFonts w:cs="Times New Roman"/>
          <w:sz w:val="19"/>
          <w:szCs w:val="19"/>
        </w:rPr>
        <w:t xml:space="preserve"> in their sources.</w:t>
      </w:r>
    </w:p>
    <w:p w14:paraId="4EA43811" w14:textId="77777777" w:rsidR="00E958DE" w:rsidRPr="00927676" w:rsidRDefault="00E958DE" w:rsidP="00E958DE">
      <w:pPr>
        <w:pStyle w:val="BodyText"/>
        <w:rPr>
          <w:rFonts w:cs="Times New Roman"/>
          <w:sz w:val="19"/>
          <w:szCs w:val="19"/>
        </w:rPr>
      </w:pPr>
    </w:p>
    <w:p w14:paraId="0D07B660" w14:textId="77777777" w:rsidR="00E958DE" w:rsidRPr="00927676" w:rsidRDefault="00E958DE" w:rsidP="00E958DE">
      <w:pPr>
        <w:bidi w:val="0"/>
        <w:jc w:val="lowKashida"/>
        <w:rPr>
          <w:rFonts w:cs="Times New Roman"/>
          <w:sz w:val="19"/>
          <w:szCs w:val="19"/>
        </w:rPr>
      </w:pPr>
      <w:r w:rsidRPr="00927676">
        <w:rPr>
          <w:rFonts w:cs="Times New Roman"/>
          <w:sz w:val="19"/>
          <w:szCs w:val="19"/>
        </w:rPr>
        <w:t xml:space="preserve">The data </w:t>
      </w:r>
      <w:r>
        <w:rPr>
          <w:rFonts w:cs="Times New Roman"/>
          <w:sz w:val="19"/>
          <w:szCs w:val="19"/>
        </w:rPr>
        <w:t>in</w:t>
      </w:r>
      <w:r w:rsidRPr="00927676">
        <w:rPr>
          <w:rFonts w:cs="Times New Roman"/>
          <w:sz w:val="19"/>
          <w:szCs w:val="19"/>
        </w:rPr>
        <w:t xml:space="preserve"> this chapter do not include Palestinians and Arabs residing within the borders of the territories occupied in 1967 and subsequently annexed to Israel, which are determined mainly in that part of Jerusalem Governorate, which was annexed by the Israeli occupation by force following its occupation of the West Bank in 1967 and the Syrian Golan Heights</w:t>
      </w:r>
      <w:r w:rsidRPr="00927676">
        <w:rPr>
          <w:rFonts w:cs="Times New Roman"/>
          <w:sz w:val="19"/>
          <w:szCs w:val="19"/>
          <w:rtl/>
        </w:rPr>
        <w:t>.</w:t>
      </w:r>
    </w:p>
    <w:p w14:paraId="7BEC3E50" w14:textId="77777777" w:rsidR="00E958DE" w:rsidRPr="00927676" w:rsidRDefault="00E958DE" w:rsidP="00E958DE">
      <w:pPr>
        <w:pStyle w:val="BodyText"/>
        <w:rPr>
          <w:rFonts w:cs="Times New Roman"/>
        </w:rPr>
      </w:pPr>
      <w:bookmarkStart w:id="1" w:name="OLE_LINK3"/>
    </w:p>
    <w:p w14:paraId="311F812B" w14:textId="77777777" w:rsidR="00E958DE" w:rsidRPr="00927676" w:rsidRDefault="00E958DE" w:rsidP="00E958DE">
      <w:pPr>
        <w:bidi w:val="0"/>
        <w:ind w:left="284" w:hanging="284"/>
        <w:jc w:val="both"/>
        <w:rPr>
          <w:rFonts w:cs="Times New Roman"/>
          <w:b/>
          <w:bCs/>
        </w:rPr>
      </w:pPr>
      <w:r w:rsidRPr="00927676">
        <w:rPr>
          <w:rFonts w:cs="Times New Roman"/>
          <w:b/>
          <w:bCs/>
        </w:rPr>
        <w:t xml:space="preserve">Population: </w:t>
      </w:r>
    </w:p>
    <w:bookmarkEnd w:id="1"/>
    <w:p w14:paraId="20AB1D13"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total population of those areas at the end of 202</w:t>
      </w:r>
      <w:r w:rsidRPr="00927676">
        <w:rPr>
          <w:rFonts w:asciiTheme="majorBidi" w:hAnsiTheme="majorBidi" w:cstheme="majorBidi"/>
          <w:sz w:val="19"/>
          <w:szCs w:val="19"/>
          <w:rtl/>
        </w:rPr>
        <w:t>3</w:t>
      </w:r>
      <w:r w:rsidRPr="00927676">
        <w:rPr>
          <w:rFonts w:asciiTheme="majorBidi" w:hAnsiTheme="majorBidi" w:cstheme="majorBidi"/>
          <w:sz w:val="19"/>
          <w:szCs w:val="19"/>
        </w:rPr>
        <w:t xml:space="preserve"> was 1.6</w:t>
      </w:r>
      <w:r w:rsidRPr="00927676">
        <w:rPr>
          <w:rFonts w:asciiTheme="majorBidi" w:hAnsiTheme="majorBidi" w:cstheme="majorBidi"/>
          <w:sz w:val="19"/>
          <w:szCs w:val="19"/>
          <w:rtl/>
        </w:rPr>
        <w:t>40</w:t>
      </w:r>
      <w:r w:rsidRPr="00927676">
        <w:rPr>
          <w:rFonts w:asciiTheme="majorBidi" w:hAnsiTheme="majorBidi" w:cstheme="majorBidi"/>
          <w:sz w:val="19"/>
          <w:szCs w:val="19"/>
        </w:rPr>
        <w:t xml:space="preserve"> million (excluding the residents of occupied East Jerusalem and the Golan Heights).</w:t>
      </w:r>
    </w:p>
    <w:p w14:paraId="5F871C32"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total fertility rate for Palestinian women during 2022 was 2.75 births.</w:t>
      </w:r>
    </w:p>
    <w:p w14:paraId="5D519024"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average size of the Palestinian household was 4.17 persons in 2022.</w:t>
      </w:r>
    </w:p>
    <w:p w14:paraId="1D139716" w14:textId="77777777" w:rsidR="00E958DE" w:rsidRPr="00927676" w:rsidRDefault="00E958DE" w:rsidP="00E958DE">
      <w:pPr>
        <w:pStyle w:val="BodyText"/>
        <w:ind w:left="284" w:hanging="284"/>
        <w:rPr>
          <w:rFonts w:cs="Times New Roman"/>
          <w:sz w:val="12"/>
          <w:szCs w:val="12"/>
        </w:rPr>
      </w:pPr>
    </w:p>
    <w:p w14:paraId="1397F0F3" w14:textId="77777777" w:rsidR="00E958DE" w:rsidRPr="00927676" w:rsidRDefault="00E958DE" w:rsidP="00E958DE">
      <w:pPr>
        <w:bidi w:val="0"/>
        <w:ind w:left="284" w:hanging="284"/>
        <w:jc w:val="both"/>
        <w:rPr>
          <w:rFonts w:cs="Times New Roman"/>
          <w:b/>
          <w:bCs/>
        </w:rPr>
      </w:pPr>
      <w:r w:rsidRPr="00927676">
        <w:rPr>
          <w:rFonts w:cs="Times New Roman"/>
          <w:b/>
          <w:bCs/>
        </w:rPr>
        <w:t>Labour Force:</w:t>
      </w:r>
    </w:p>
    <w:p w14:paraId="47035878"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The labour force participation among the youth (18-35 years) was 64.7% </w:t>
      </w:r>
      <w:r>
        <w:rPr>
          <w:rFonts w:asciiTheme="majorBidi" w:hAnsiTheme="majorBidi" w:cstheme="majorBidi"/>
          <w:sz w:val="19"/>
          <w:szCs w:val="19"/>
        </w:rPr>
        <w:t>(</w:t>
      </w:r>
      <w:r w:rsidRPr="00927676">
        <w:rPr>
          <w:rFonts w:asciiTheme="majorBidi" w:hAnsiTheme="majorBidi" w:cstheme="majorBidi"/>
          <w:sz w:val="19"/>
          <w:szCs w:val="19"/>
        </w:rPr>
        <w:t>77.8% among males, and 51.1% among females</w:t>
      </w:r>
      <w:r>
        <w:rPr>
          <w:rFonts w:asciiTheme="majorBidi" w:hAnsiTheme="majorBidi" w:cstheme="majorBidi"/>
          <w:sz w:val="19"/>
          <w:szCs w:val="19"/>
        </w:rPr>
        <w:t>)</w:t>
      </w:r>
      <w:r w:rsidRPr="00927676">
        <w:rPr>
          <w:rFonts w:asciiTheme="majorBidi" w:hAnsiTheme="majorBidi" w:cstheme="majorBidi"/>
          <w:sz w:val="19"/>
          <w:szCs w:val="19"/>
        </w:rPr>
        <w:t xml:space="preserve"> in 2020.</w:t>
      </w:r>
    </w:p>
    <w:p w14:paraId="6665C44A" w14:textId="77777777" w:rsidR="00E958DE" w:rsidRPr="00927676" w:rsidRDefault="00E958DE" w:rsidP="00E958DE">
      <w:pPr>
        <w:pStyle w:val="BodyText"/>
        <w:ind w:left="284" w:hanging="284"/>
        <w:rPr>
          <w:rFonts w:cs="Times New Roman"/>
          <w:sz w:val="12"/>
          <w:szCs w:val="12"/>
        </w:rPr>
      </w:pPr>
    </w:p>
    <w:p w14:paraId="69283CC6" w14:textId="77777777" w:rsidR="00E958DE" w:rsidRPr="00927676" w:rsidRDefault="00E958DE" w:rsidP="00E958DE">
      <w:pPr>
        <w:bidi w:val="0"/>
        <w:ind w:left="284" w:hanging="284"/>
        <w:jc w:val="both"/>
        <w:rPr>
          <w:rFonts w:cs="Times New Roman"/>
          <w:b/>
          <w:bCs/>
        </w:rPr>
      </w:pPr>
      <w:r w:rsidRPr="00927676">
        <w:rPr>
          <w:rFonts w:cs="Times New Roman"/>
          <w:b/>
          <w:bCs/>
        </w:rPr>
        <w:t xml:space="preserve">Education: </w:t>
      </w:r>
    </w:p>
    <w:p w14:paraId="47B0555D"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Education data for the scholastic year 2023/2024 indicate that the number of schools </w:t>
      </w:r>
      <w:r>
        <w:rPr>
          <w:rFonts w:asciiTheme="majorBidi" w:hAnsiTheme="majorBidi" w:cstheme="majorBidi"/>
          <w:sz w:val="19"/>
          <w:szCs w:val="19"/>
        </w:rPr>
        <w:t xml:space="preserve">that </w:t>
      </w:r>
      <w:r w:rsidRPr="00927676">
        <w:rPr>
          <w:rFonts w:asciiTheme="majorBidi" w:hAnsiTheme="majorBidi" w:cstheme="majorBidi"/>
          <w:sz w:val="19"/>
          <w:szCs w:val="19"/>
        </w:rPr>
        <w:t xml:space="preserve">provide primary education reached 667, including 586 primary schools and 81 schools for children with special needs. The number of schools </w:t>
      </w:r>
      <w:r>
        <w:rPr>
          <w:rFonts w:asciiTheme="majorBidi" w:hAnsiTheme="majorBidi" w:cstheme="majorBidi"/>
          <w:sz w:val="19"/>
          <w:szCs w:val="19"/>
        </w:rPr>
        <w:t xml:space="preserve">that </w:t>
      </w:r>
      <w:r w:rsidRPr="00927676">
        <w:rPr>
          <w:rFonts w:asciiTheme="majorBidi" w:hAnsiTheme="majorBidi" w:cstheme="majorBidi"/>
          <w:sz w:val="19"/>
          <w:szCs w:val="19"/>
        </w:rPr>
        <w:t>provid</w:t>
      </w:r>
      <w:r>
        <w:rPr>
          <w:rFonts w:asciiTheme="majorBidi" w:hAnsiTheme="majorBidi" w:cstheme="majorBidi"/>
          <w:sz w:val="19"/>
          <w:szCs w:val="19"/>
        </w:rPr>
        <w:t>e</w:t>
      </w:r>
      <w:r w:rsidRPr="00927676">
        <w:rPr>
          <w:rFonts w:asciiTheme="majorBidi" w:hAnsiTheme="majorBidi" w:cstheme="majorBidi"/>
          <w:sz w:val="19"/>
          <w:szCs w:val="19"/>
        </w:rPr>
        <w:t xml:space="preserve"> preparatory education reached 228, while the </w:t>
      </w:r>
      <w:r>
        <w:rPr>
          <w:rFonts w:asciiTheme="majorBidi" w:hAnsiTheme="majorBidi" w:cstheme="majorBidi"/>
          <w:sz w:val="19"/>
          <w:szCs w:val="19"/>
        </w:rPr>
        <w:t xml:space="preserve">number of </w:t>
      </w:r>
      <w:r w:rsidRPr="00927676">
        <w:rPr>
          <w:rFonts w:asciiTheme="majorBidi" w:hAnsiTheme="majorBidi" w:cstheme="majorBidi"/>
          <w:sz w:val="19"/>
          <w:szCs w:val="19"/>
        </w:rPr>
        <w:t xml:space="preserve">schools </w:t>
      </w:r>
      <w:r>
        <w:rPr>
          <w:rFonts w:asciiTheme="majorBidi" w:hAnsiTheme="majorBidi" w:cstheme="majorBidi"/>
          <w:sz w:val="19"/>
          <w:szCs w:val="19"/>
        </w:rPr>
        <w:t xml:space="preserve">that </w:t>
      </w:r>
      <w:r w:rsidRPr="00927676">
        <w:rPr>
          <w:rFonts w:asciiTheme="majorBidi" w:hAnsiTheme="majorBidi" w:cstheme="majorBidi"/>
          <w:sz w:val="19"/>
          <w:szCs w:val="19"/>
        </w:rPr>
        <w:t>provid</w:t>
      </w:r>
      <w:r>
        <w:rPr>
          <w:rFonts w:asciiTheme="majorBidi" w:hAnsiTheme="majorBidi" w:cstheme="majorBidi"/>
          <w:sz w:val="19"/>
          <w:szCs w:val="19"/>
        </w:rPr>
        <w:t>e</w:t>
      </w:r>
      <w:r w:rsidRPr="00927676">
        <w:rPr>
          <w:rFonts w:asciiTheme="majorBidi" w:hAnsiTheme="majorBidi" w:cstheme="majorBidi"/>
          <w:sz w:val="19"/>
          <w:szCs w:val="19"/>
        </w:rPr>
        <w:t xml:space="preserve"> secondary education totaled 414.</w:t>
      </w:r>
    </w:p>
    <w:p w14:paraId="64E9FA04" w14:textId="77777777" w:rsidR="00EB7852" w:rsidRPr="00B343CC" w:rsidRDefault="00EB7852" w:rsidP="00EB7852">
      <w:pPr>
        <w:pStyle w:val="ListParagraph"/>
        <w:bidi w:val="0"/>
        <w:ind w:left="284"/>
        <w:contextualSpacing/>
        <w:jc w:val="both"/>
        <w:rPr>
          <w:rFonts w:asciiTheme="majorBidi" w:hAnsiTheme="majorBidi" w:cstheme="majorBidi"/>
          <w:sz w:val="19"/>
          <w:szCs w:val="19"/>
        </w:rPr>
      </w:pPr>
    </w:p>
    <w:p w14:paraId="7F295014" w14:textId="77777777" w:rsidR="009D6AE0" w:rsidRPr="00B343CC" w:rsidRDefault="009D6AE0" w:rsidP="00323AE5">
      <w:pPr>
        <w:bidi w:val="0"/>
        <w:rPr>
          <w:b/>
          <w:bCs/>
          <w:sz w:val="24"/>
          <w:szCs w:val="24"/>
        </w:rPr>
        <w:sectPr w:rsidR="009D6AE0" w:rsidRPr="00B343CC" w:rsidSect="006B3D25">
          <w:footerReference w:type="default" r:id="rId44"/>
          <w:footerReference w:type="first" r:id="rId45"/>
          <w:endnotePr>
            <w:numFmt w:val="lowerLetter"/>
          </w:endnotePr>
          <w:pgSz w:w="9639" w:h="13608" w:code="9"/>
          <w:pgMar w:top="1134" w:right="1134" w:bottom="1134" w:left="1134" w:header="567" w:footer="567" w:gutter="0"/>
          <w:cols w:space="720"/>
          <w:bidi/>
          <w:rtlGutter/>
          <w:docGrid w:linePitch="272"/>
        </w:sectPr>
      </w:pPr>
      <w:r w:rsidRPr="00B343CC">
        <w:rPr>
          <w:b/>
          <w:bCs/>
          <w:sz w:val="24"/>
          <w:szCs w:val="24"/>
        </w:rPr>
        <w:br w:type="page"/>
      </w:r>
    </w:p>
    <w:p w14:paraId="6EF20D4B" w14:textId="77777777" w:rsidR="009D6AE0" w:rsidRPr="00B343CC" w:rsidRDefault="009D6AE0" w:rsidP="00323AE5">
      <w:pPr>
        <w:bidi w:val="0"/>
        <w:jc w:val="center"/>
        <w:rPr>
          <w:b/>
          <w:bCs/>
          <w:sz w:val="24"/>
          <w:szCs w:val="24"/>
        </w:rPr>
        <w:sectPr w:rsidR="009D6AE0" w:rsidRPr="00B343CC" w:rsidSect="006B3D25">
          <w:endnotePr>
            <w:numFmt w:val="lowerLetter"/>
          </w:endnotePr>
          <w:pgSz w:w="9639" w:h="13608" w:code="9"/>
          <w:pgMar w:top="1134" w:right="1134" w:bottom="1134" w:left="1134" w:header="567" w:footer="567" w:gutter="0"/>
          <w:cols w:space="720"/>
          <w:bidi/>
          <w:rtlGutter/>
          <w:docGrid w:linePitch="272"/>
        </w:sectPr>
      </w:pPr>
    </w:p>
    <w:p w14:paraId="56F4E42A" w14:textId="14B0FC27" w:rsidR="00A54B2E" w:rsidRPr="00B343CC" w:rsidRDefault="00A54B2E" w:rsidP="00323AE5">
      <w:pPr>
        <w:bidi w:val="0"/>
        <w:jc w:val="center"/>
        <w:rPr>
          <w:rFonts w:cs="Times New Roman"/>
          <w:b/>
          <w:bCs/>
          <w:sz w:val="28"/>
          <w:szCs w:val="36"/>
        </w:rPr>
      </w:pPr>
      <w:r w:rsidRPr="00B343CC">
        <w:rPr>
          <w:b/>
          <w:bCs/>
          <w:sz w:val="24"/>
          <w:szCs w:val="24"/>
        </w:rPr>
        <w:lastRenderedPageBreak/>
        <w:t>Palestinian</w:t>
      </w:r>
      <w:r w:rsidR="00850BC4" w:rsidRPr="00B343CC">
        <w:rPr>
          <w:b/>
          <w:bCs/>
          <w:sz w:val="24"/>
          <w:szCs w:val="24"/>
        </w:rPr>
        <w:t>s</w:t>
      </w:r>
      <w:r w:rsidRPr="00B343CC">
        <w:rPr>
          <w:b/>
          <w:bCs/>
          <w:sz w:val="24"/>
          <w:szCs w:val="24"/>
        </w:rPr>
        <w:t xml:space="preserve"> in Dispora</w:t>
      </w:r>
    </w:p>
    <w:p w14:paraId="0BE20B15" w14:textId="77777777" w:rsidR="00A54B2E" w:rsidRPr="00B343CC" w:rsidRDefault="00A54B2E" w:rsidP="00323AE5">
      <w:pPr>
        <w:pStyle w:val="Title"/>
      </w:pPr>
    </w:p>
    <w:p w14:paraId="04E7014D" w14:textId="77777777" w:rsidR="00E958DE" w:rsidRPr="00927676" w:rsidRDefault="00E958DE" w:rsidP="00E958DE">
      <w:pPr>
        <w:bidi w:val="0"/>
        <w:ind w:left="284" w:hanging="284"/>
        <w:jc w:val="both"/>
        <w:rPr>
          <w:rFonts w:cs="Times New Roman"/>
          <w:b/>
          <w:bCs/>
        </w:rPr>
      </w:pPr>
      <w:r w:rsidRPr="00927676">
        <w:rPr>
          <w:rFonts w:cs="Times New Roman"/>
          <w:b/>
          <w:bCs/>
        </w:rPr>
        <w:t>Population:</w:t>
      </w:r>
    </w:p>
    <w:p w14:paraId="2D2999B3"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number of Palestinian refugees registered in the records of the United Nations Relief and Works Agency for Palestine (UNRWA) in Jordan, Syria, Lebanon</w:t>
      </w:r>
      <w:r>
        <w:rPr>
          <w:rFonts w:asciiTheme="majorBidi" w:hAnsiTheme="majorBidi" w:cstheme="majorBidi"/>
          <w:sz w:val="19"/>
          <w:szCs w:val="19"/>
        </w:rPr>
        <w:t>,</w:t>
      </w:r>
      <w:r w:rsidRPr="00927676">
        <w:rPr>
          <w:rFonts w:asciiTheme="majorBidi" w:hAnsiTheme="majorBidi" w:cstheme="majorBidi"/>
          <w:sz w:val="19"/>
          <w:szCs w:val="19"/>
        </w:rPr>
        <w:t xml:space="preserve"> and Palestine reached about 6.</w:t>
      </w:r>
      <w:r w:rsidRPr="00927676">
        <w:rPr>
          <w:rFonts w:asciiTheme="majorBidi" w:hAnsiTheme="majorBidi" w:cstheme="majorBidi"/>
          <w:sz w:val="19"/>
          <w:szCs w:val="19"/>
          <w:rtl/>
        </w:rPr>
        <w:t>8</w:t>
      </w:r>
      <w:r w:rsidRPr="00927676">
        <w:rPr>
          <w:rFonts w:asciiTheme="majorBidi" w:hAnsiTheme="majorBidi" w:cstheme="majorBidi"/>
          <w:sz w:val="19"/>
          <w:szCs w:val="19"/>
        </w:rPr>
        <w:t xml:space="preserve"> million refugees at the end of 2024.</w:t>
      </w:r>
    </w:p>
    <w:p w14:paraId="2FFA40BE" w14:textId="77777777" w:rsidR="00E958DE" w:rsidRPr="00927676" w:rsidRDefault="00E958DE" w:rsidP="00E958DE">
      <w:pPr>
        <w:bidi w:val="0"/>
        <w:ind w:left="284" w:hanging="284"/>
        <w:jc w:val="both"/>
        <w:rPr>
          <w:rFonts w:cs="Times New Roman"/>
          <w:b/>
          <w:bCs/>
        </w:rPr>
      </w:pPr>
    </w:p>
    <w:p w14:paraId="2E929543" w14:textId="77777777" w:rsidR="00E958DE" w:rsidRPr="00927676" w:rsidRDefault="00E958DE" w:rsidP="00E958DE">
      <w:pPr>
        <w:bidi w:val="0"/>
        <w:ind w:left="284" w:hanging="284"/>
        <w:jc w:val="both"/>
        <w:rPr>
          <w:rFonts w:cs="Times New Roman"/>
          <w:b/>
          <w:bCs/>
        </w:rPr>
      </w:pPr>
      <w:r w:rsidRPr="00927676">
        <w:rPr>
          <w:rFonts w:cs="Times New Roman"/>
          <w:b/>
          <w:bCs/>
        </w:rPr>
        <w:t>Health:</w:t>
      </w:r>
    </w:p>
    <w:p w14:paraId="4874F5D2"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There were 27 primary healthcare centers in Lebanon, </w:t>
      </w:r>
      <w:r w:rsidRPr="00927676">
        <w:rPr>
          <w:rFonts w:asciiTheme="majorBidi" w:hAnsiTheme="majorBidi" w:cstheme="majorBidi"/>
          <w:sz w:val="19"/>
          <w:szCs w:val="19"/>
          <w:rtl/>
        </w:rPr>
        <w:t>24</w:t>
      </w:r>
      <w:r w:rsidRPr="00927676">
        <w:rPr>
          <w:rFonts w:asciiTheme="majorBidi" w:hAnsiTheme="majorBidi" w:cstheme="majorBidi"/>
          <w:sz w:val="19"/>
          <w:szCs w:val="19"/>
        </w:rPr>
        <w:t xml:space="preserve"> in Syria, 25 in Jordan</w:t>
      </w:r>
      <w:r>
        <w:rPr>
          <w:rFonts w:asciiTheme="majorBidi" w:hAnsiTheme="majorBidi" w:cstheme="majorBidi"/>
          <w:sz w:val="19"/>
          <w:szCs w:val="19"/>
        </w:rPr>
        <w:t>,</w:t>
      </w:r>
      <w:r w:rsidRPr="00927676">
        <w:rPr>
          <w:rFonts w:asciiTheme="majorBidi" w:hAnsiTheme="majorBidi" w:cstheme="majorBidi"/>
          <w:sz w:val="19"/>
          <w:szCs w:val="19"/>
        </w:rPr>
        <w:t xml:space="preserve"> and </w:t>
      </w:r>
      <w:r w:rsidRPr="00927676">
        <w:rPr>
          <w:rFonts w:asciiTheme="majorBidi" w:hAnsiTheme="majorBidi" w:cstheme="majorBidi"/>
          <w:sz w:val="19"/>
          <w:szCs w:val="19"/>
          <w:rtl/>
        </w:rPr>
        <w:t>50</w:t>
      </w:r>
      <w:r w:rsidRPr="00927676">
        <w:rPr>
          <w:rFonts w:asciiTheme="majorBidi" w:hAnsiTheme="majorBidi" w:cstheme="majorBidi"/>
          <w:sz w:val="19"/>
          <w:szCs w:val="19"/>
        </w:rPr>
        <w:t xml:space="preserve"> in Palestine at the end of </w:t>
      </w:r>
      <w:r w:rsidRPr="00927676">
        <w:rPr>
          <w:rFonts w:asciiTheme="majorBidi" w:hAnsiTheme="majorBidi" w:cstheme="majorBidi"/>
          <w:sz w:val="19"/>
          <w:szCs w:val="19"/>
          <w:rtl/>
        </w:rPr>
        <w:t>2024</w:t>
      </w:r>
      <w:r w:rsidRPr="00927676">
        <w:rPr>
          <w:rFonts w:asciiTheme="majorBidi" w:hAnsiTheme="majorBidi" w:cstheme="majorBidi"/>
          <w:sz w:val="19"/>
          <w:szCs w:val="19"/>
        </w:rPr>
        <w:t>.</w:t>
      </w:r>
    </w:p>
    <w:p w14:paraId="4A0741E5" w14:textId="77777777" w:rsidR="00E958DE" w:rsidRPr="00927676" w:rsidRDefault="00E958DE" w:rsidP="00E958DE">
      <w:pPr>
        <w:bidi w:val="0"/>
        <w:ind w:left="284" w:hanging="284"/>
        <w:jc w:val="both"/>
        <w:rPr>
          <w:rFonts w:cs="Times New Roman"/>
          <w:b/>
          <w:bCs/>
        </w:rPr>
      </w:pPr>
    </w:p>
    <w:p w14:paraId="1377C868" w14:textId="77777777" w:rsidR="00E958DE" w:rsidRPr="00927676" w:rsidRDefault="00E958DE" w:rsidP="00E958DE">
      <w:pPr>
        <w:bidi w:val="0"/>
        <w:ind w:left="284" w:hanging="284"/>
        <w:jc w:val="both"/>
        <w:rPr>
          <w:rFonts w:cs="Times New Roman"/>
          <w:b/>
          <w:bCs/>
        </w:rPr>
      </w:pPr>
      <w:r w:rsidRPr="00927676">
        <w:rPr>
          <w:rFonts w:cs="Times New Roman"/>
          <w:b/>
          <w:bCs/>
        </w:rPr>
        <w:t xml:space="preserve">Education: </w:t>
      </w:r>
    </w:p>
    <w:p w14:paraId="75500BEE"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 xml:space="preserve">The total number of UNRWA schools was </w:t>
      </w:r>
      <w:r w:rsidRPr="00927676">
        <w:rPr>
          <w:rFonts w:asciiTheme="majorBidi" w:hAnsiTheme="majorBidi" w:cstheme="majorBidi"/>
          <w:sz w:val="19"/>
          <w:szCs w:val="19"/>
          <w:rtl/>
        </w:rPr>
        <w:t>161</w:t>
      </w:r>
      <w:r w:rsidRPr="00927676">
        <w:rPr>
          <w:rFonts w:asciiTheme="majorBidi" w:hAnsiTheme="majorBidi" w:cstheme="majorBidi"/>
          <w:sz w:val="19"/>
          <w:szCs w:val="19"/>
        </w:rPr>
        <w:t xml:space="preserve"> in Jordan, </w:t>
      </w:r>
      <w:r w:rsidRPr="00927676">
        <w:rPr>
          <w:rFonts w:asciiTheme="majorBidi" w:hAnsiTheme="majorBidi" w:cstheme="majorBidi"/>
          <w:sz w:val="19"/>
          <w:szCs w:val="19"/>
          <w:rtl/>
        </w:rPr>
        <w:t>10</w:t>
      </w:r>
      <w:r w:rsidRPr="00927676">
        <w:rPr>
          <w:rFonts w:asciiTheme="majorBidi" w:hAnsiTheme="majorBidi" w:cstheme="majorBidi"/>
          <w:sz w:val="19"/>
          <w:szCs w:val="19"/>
        </w:rPr>
        <w:t>4 in Syria</w:t>
      </w:r>
      <w:r>
        <w:rPr>
          <w:rFonts w:asciiTheme="majorBidi" w:hAnsiTheme="majorBidi" w:cstheme="majorBidi"/>
          <w:sz w:val="19"/>
          <w:szCs w:val="19"/>
        </w:rPr>
        <w:t>,</w:t>
      </w:r>
      <w:r w:rsidRPr="00927676">
        <w:rPr>
          <w:rFonts w:asciiTheme="majorBidi" w:hAnsiTheme="majorBidi" w:cstheme="majorBidi"/>
          <w:sz w:val="19"/>
          <w:szCs w:val="19"/>
        </w:rPr>
        <w:t xml:space="preserve"> and 61 in Lebanon at the end of 2024/2025.</w:t>
      </w:r>
    </w:p>
    <w:p w14:paraId="1AE6949C"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total number of refugee students in UNRWA schools was 104,336 in Jordan, 37,972 in Lebanon</w:t>
      </w:r>
      <w:r>
        <w:rPr>
          <w:rFonts w:asciiTheme="majorBidi" w:hAnsiTheme="majorBidi" w:cstheme="majorBidi"/>
          <w:sz w:val="19"/>
          <w:szCs w:val="19"/>
        </w:rPr>
        <w:t>,</w:t>
      </w:r>
      <w:r w:rsidRPr="00927676">
        <w:rPr>
          <w:rFonts w:asciiTheme="majorBidi" w:hAnsiTheme="majorBidi" w:cstheme="majorBidi"/>
          <w:sz w:val="19"/>
          <w:szCs w:val="19"/>
        </w:rPr>
        <w:t xml:space="preserve"> and 50,541 in Syria at the end of 2024/2025.</w:t>
      </w:r>
    </w:p>
    <w:p w14:paraId="1ADFF4EC" w14:textId="77777777" w:rsidR="00E958DE" w:rsidRPr="00927676" w:rsidRDefault="00E958DE" w:rsidP="00E958DE">
      <w:pPr>
        <w:pStyle w:val="ListParagraph"/>
        <w:numPr>
          <w:ilvl w:val="0"/>
          <w:numId w:val="3"/>
        </w:numPr>
        <w:bidi w:val="0"/>
        <w:ind w:left="284" w:hanging="284"/>
        <w:contextualSpacing/>
        <w:jc w:val="both"/>
        <w:rPr>
          <w:rFonts w:asciiTheme="majorBidi" w:hAnsiTheme="majorBidi" w:cstheme="majorBidi"/>
          <w:sz w:val="19"/>
          <w:szCs w:val="19"/>
        </w:rPr>
      </w:pPr>
      <w:r w:rsidRPr="00927676">
        <w:rPr>
          <w:rFonts w:asciiTheme="majorBidi" w:hAnsiTheme="majorBidi" w:cstheme="majorBidi"/>
          <w:sz w:val="19"/>
          <w:szCs w:val="19"/>
        </w:rPr>
        <w:t>The total number of teaching staff in UNRWA schools was 3,848 in Jordan, 1,768 in Syria</w:t>
      </w:r>
      <w:r>
        <w:rPr>
          <w:rFonts w:asciiTheme="majorBidi" w:hAnsiTheme="majorBidi" w:cstheme="majorBidi"/>
          <w:sz w:val="19"/>
          <w:szCs w:val="19"/>
        </w:rPr>
        <w:t>,</w:t>
      </w:r>
      <w:r w:rsidRPr="00927676">
        <w:rPr>
          <w:rFonts w:asciiTheme="majorBidi" w:hAnsiTheme="majorBidi" w:cstheme="majorBidi"/>
          <w:sz w:val="19"/>
          <w:szCs w:val="19"/>
        </w:rPr>
        <w:t xml:space="preserve"> and 1,508 in Lebanon at the end of 2024/2025. </w:t>
      </w:r>
    </w:p>
    <w:p w14:paraId="28FA9A30" w14:textId="77777777" w:rsidR="0031137C" w:rsidRPr="00B343CC" w:rsidRDefault="0031137C" w:rsidP="00323AE5">
      <w:pPr>
        <w:bidi w:val="0"/>
        <w:rPr>
          <w:rFonts w:cs="Times New Roman"/>
          <w:b/>
          <w:bCs/>
          <w:sz w:val="24"/>
          <w:szCs w:val="24"/>
        </w:rPr>
      </w:pPr>
      <w:r w:rsidRPr="00B343CC">
        <w:rPr>
          <w:rFonts w:cs="Times New Roman"/>
          <w:b/>
          <w:bCs/>
          <w:sz w:val="24"/>
          <w:szCs w:val="24"/>
        </w:rPr>
        <w:br w:type="page"/>
      </w:r>
    </w:p>
    <w:p w14:paraId="30F9D903" w14:textId="77777777" w:rsidR="00A54B2E" w:rsidRPr="00B343CC" w:rsidRDefault="00A54B2E" w:rsidP="00323AE5">
      <w:pPr>
        <w:bidi w:val="0"/>
        <w:rPr>
          <w:rFonts w:cs="Times New Roman"/>
          <w:b/>
          <w:bCs/>
          <w:sz w:val="24"/>
          <w:szCs w:val="24"/>
        </w:rPr>
      </w:pPr>
      <w:r w:rsidRPr="00B343CC">
        <w:rPr>
          <w:rFonts w:cs="Times New Roman"/>
          <w:b/>
          <w:bCs/>
          <w:sz w:val="24"/>
          <w:szCs w:val="24"/>
        </w:rPr>
        <w:lastRenderedPageBreak/>
        <w:br w:type="page"/>
      </w:r>
    </w:p>
    <w:p w14:paraId="7C071D0E" w14:textId="77777777" w:rsidR="00EF68A8" w:rsidRPr="00B343CC" w:rsidRDefault="00EF68A8" w:rsidP="00323AE5">
      <w:pPr>
        <w:bidi w:val="0"/>
        <w:jc w:val="center"/>
        <w:rPr>
          <w:rFonts w:cs="Times New Roman"/>
          <w:b/>
          <w:bCs/>
          <w:sz w:val="24"/>
          <w:szCs w:val="24"/>
        </w:rPr>
        <w:sectPr w:rsidR="00EF68A8" w:rsidRPr="00B343CC" w:rsidSect="006B3D25">
          <w:footerReference w:type="default" r:id="rId46"/>
          <w:endnotePr>
            <w:numFmt w:val="lowerLetter"/>
          </w:endnotePr>
          <w:pgSz w:w="9639" w:h="13608" w:code="9"/>
          <w:pgMar w:top="1134" w:right="1134" w:bottom="1134" w:left="1134" w:header="567" w:footer="567" w:gutter="0"/>
          <w:cols w:space="720"/>
          <w:bidi/>
          <w:rtlGutter/>
          <w:docGrid w:linePitch="272"/>
        </w:sectPr>
      </w:pPr>
    </w:p>
    <w:p w14:paraId="37F2A18A" w14:textId="77777777" w:rsidR="00BF41A3" w:rsidRPr="00B343CC" w:rsidRDefault="00BF41A3" w:rsidP="00323AE5">
      <w:pPr>
        <w:bidi w:val="0"/>
        <w:jc w:val="center"/>
        <w:rPr>
          <w:rFonts w:cs="Times New Roman"/>
          <w:b/>
          <w:bCs/>
          <w:sz w:val="24"/>
          <w:szCs w:val="24"/>
        </w:rPr>
      </w:pPr>
      <w:r w:rsidRPr="00B343CC">
        <w:rPr>
          <w:rFonts w:cs="Times New Roman"/>
          <w:b/>
          <w:bCs/>
          <w:sz w:val="24"/>
          <w:szCs w:val="24"/>
        </w:rPr>
        <w:lastRenderedPageBreak/>
        <w:t>References</w:t>
      </w:r>
    </w:p>
    <w:p w14:paraId="722C03EC" w14:textId="77777777" w:rsidR="00BF41A3" w:rsidRPr="00B343CC" w:rsidRDefault="00BF41A3" w:rsidP="00323AE5">
      <w:pPr>
        <w:pStyle w:val="Heading1"/>
        <w:rPr>
          <w:rFonts w:ascii="Times New Roman" w:hAnsi="Times New Roman" w:cs="Times New Roman"/>
          <w:b/>
          <w:bCs/>
          <w:sz w:val="20"/>
        </w:rPr>
      </w:pPr>
    </w:p>
    <w:p w14:paraId="1D9F57F1" w14:textId="77777777" w:rsidR="00BF41A3" w:rsidRPr="00B343CC" w:rsidRDefault="00BF41A3" w:rsidP="00CD6B05">
      <w:pPr>
        <w:numPr>
          <w:ilvl w:val="0"/>
          <w:numId w:val="6"/>
        </w:numPr>
        <w:overflowPunct w:val="0"/>
        <w:autoSpaceDE w:val="0"/>
        <w:autoSpaceDN w:val="0"/>
        <w:bidi w:val="0"/>
        <w:adjustRightInd w:val="0"/>
        <w:ind w:left="709" w:right="0" w:hanging="283"/>
        <w:jc w:val="both"/>
        <w:textAlignment w:val="baseline"/>
        <w:rPr>
          <w:rFonts w:cs="Times New Roman"/>
        </w:rPr>
      </w:pPr>
      <w:r w:rsidRPr="00B343CC">
        <w:rPr>
          <w:rFonts w:cs="Times New Roman"/>
          <w:b/>
          <w:bCs/>
          <w:snapToGrid w:val="0"/>
        </w:rPr>
        <w:t xml:space="preserve">Palestinian Central Bureau of Statistics, </w:t>
      </w:r>
      <w:r w:rsidR="0082220F" w:rsidRPr="00B343CC">
        <w:rPr>
          <w:rFonts w:cs="Times New Roman"/>
          <w:b/>
          <w:bCs/>
          <w:snapToGrid w:val="0"/>
        </w:rPr>
        <w:t>202</w:t>
      </w:r>
      <w:r w:rsidR="00CD6B05" w:rsidRPr="00B343CC">
        <w:rPr>
          <w:rFonts w:cs="Times New Roman"/>
          <w:b/>
          <w:bCs/>
          <w:snapToGrid w:val="0"/>
        </w:rPr>
        <w:t>3</w:t>
      </w:r>
      <w:r w:rsidRPr="00B343CC">
        <w:rPr>
          <w:rFonts w:cs="Times New Roman"/>
          <w:b/>
          <w:bCs/>
          <w:snapToGrid w:val="0"/>
        </w:rPr>
        <w:t>.</w:t>
      </w:r>
      <w:r w:rsidRPr="00B343CC">
        <w:rPr>
          <w:rFonts w:cs="Times New Roman"/>
          <w:snapToGrid w:val="0"/>
        </w:rPr>
        <w:t xml:space="preserve"> Statistical Yearbook of Palestine, </w:t>
      </w:r>
      <w:r w:rsidR="0082220F" w:rsidRPr="00B343CC">
        <w:rPr>
          <w:rFonts w:cs="Times New Roman"/>
          <w:snapToGrid w:val="0"/>
        </w:rPr>
        <w:t>202</w:t>
      </w:r>
      <w:r w:rsidR="00CD6B05" w:rsidRPr="00B343CC">
        <w:rPr>
          <w:rFonts w:cs="Times New Roman"/>
          <w:snapToGrid w:val="0"/>
        </w:rPr>
        <w:t>3</w:t>
      </w:r>
      <w:r w:rsidRPr="00B343CC">
        <w:rPr>
          <w:rFonts w:cs="Times New Roman"/>
          <w:snapToGrid w:val="0"/>
        </w:rPr>
        <w:t xml:space="preserve">, No. </w:t>
      </w:r>
      <w:r w:rsidR="0082220F" w:rsidRPr="00B343CC">
        <w:rPr>
          <w:rFonts w:cs="Times New Roman"/>
          <w:snapToGrid w:val="0"/>
          <w:lang w:val="en-GB"/>
        </w:rPr>
        <w:t>2</w:t>
      </w:r>
      <w:r w:rsidR="00CD6B05" w:rsidRPr="00B343CC">
        <w:rPr>
          <w:rFonts w:cs="Times New Roman"/>
          <w:snapToGrid w:val="0"/>
          <w:lang w:val="en-GB"/>
        </w:rPr>
        <w:t>4</w:t>
      </w:r>
      <w:r w:rsidRPr="00B343CC">
        <w:rPr>
          <w:rFonts w:cs="Times New Roman"/>
          <w:snapToGrid w:val="0"/>
        </w:rPr>
        <w:t>. Ramallah - Palestine.</w:t>
      </w:r>
    </w:p>
    <w:p w14:paraId="04FD7EEA" w14:textId="77777777" w:rsidR="00BF41A3" w:rsidRPr="00B343CC" w:rsidRDefault="00BF41A3" w:rsidP="00323AE5">
      <w:pPr>
        <w:bidi w:val="0"/>
        <w:ind w:left="66"/>
        <w:jc w:val="both"/>
        <w:rPr>
          <w:rFonts w:cs="Times New Roman"/>
          <w:sz w:val="12"/>
          <w:szCs w:val="12"/>
        </w:rPr>
      </w:pPr>
    </w:p>
    <w:p w14:paraId="0BFA79A1" w14:textId="77777777" w:rsidR="00BF41A3" w:rsidRPr="00B343CC" w:rsidRDefault="008962F9" w:rsidP="00E4227C">
      <w:pPr>
        <w:pStyle w:val="ListParagraph"/>
        <w:numPr>
          <w:ilvl w:val="0"/>
          <w:numId w:val="6"/>
        </w:numPr>
        <w:tabs>
          <w:tab w:val="clear" w:pos="786"/>
          <w:tab w:val="num" w:pos="672"/>
          <w:tab w:val="num" w:pos="700"/>
          <w:tab w:val="num" w:pos="928"/>
        </w:tabs>
        <w:overflowPunct w:val="0"/>
        <w:autoSpaceDE w:val="0"/>
        <w:autoSpaceDN w:val="0"/>
        <w:bidi w:val="0"/>
        <w:adjustRightInd w:val="0"/>
        <w:ind w:left="686" w:right="0" w:hanging="280"/>
        <w:jc w:val="both"/>
        <w:textAlignment w:val="baseline"/>
        <w:rPr>
          <w:rFonts w:cs="Times New Roman"/>
          <w:snapToGrid w:val="0"/>
          <w:sz w:val="20"/>
        </w:rPr>
      </w:pPr>
      <w:r w:rsidRPr="00B343CC">
        <w:rPr>
          <w:rFonts w:cs="Times New Roman"/>
          <w:b/>
          <w:bCs/>
          <w:snapToGrid w:val="0"/>
          <w:sz w:val="20"/>
        </w:rPr>
        <w:t>Ministry of Interior, 202</w:t>
      </w:r>
      <w:r w:rsidR="00E4227C" w:rsidRPr="00B343CC">
        <w:rPr>
          <w:rFonts w:cs="Times New Roman"/>
          <w:b/>
          <w:bCs/>
          <w:snapToGrid w:val="0"/>
          <w:sz w:val="20"/>
        </w:rPr>
        <w:t>4</w:t>
      </w:r>
      <w:r w:rsidRPr="00B343CC">
        <w:rPr>
          <w:rFonts w:cs="Times New Roman"/>
          <w:b/>
          <w:bCs/>
          <w:snapToGrid w:val="0"/>
          <w:sz w:val="20"/>
        </w:rPr>
        <w:t xml:space="preserve">. </w:t>
      </w:r>
      <w:r w:rsidRPr="00B343CC">
        <w:rPr>
          <w:rFonts w:cs="Times New Roman"/>
          <w:snapToGrid w:val="0"/>
          <w:sz w:val="20"/>
        </w:rPr>
        <w:t>Updated statistical tables from Population Register. Ramallah - Palestine.</w:t>
      </w:r>
    </w:p>
    <w:p w14:paraId="2318C5D2" w14:textId="77777777" w:rsidR="00BF41A3" w:rsidRPr="00B343CC" w:rsidRDefault="00BF41A3" w:rsidP="00323AE5">
      <w:pPr>
        <w:bidi w:val="0"/>
        <w:ind w:left="66"/>
        <w:jc w:val="both"/>
        <w:rPr>
          <w:rFonts w:cs="Times New Roman"/>
          <w:sz w:val="12"/>
          <w:szCs w:val="12"/>
        </w:rPr>
      </w:pPr>
    </w:p>
    <w:p w14:paraId="0869C2D6" w14:textId="22B2789D" w:rsidR="00DE447E" w:rsidRPr="00B343CC"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B343CC">
        <w:rPr>
          <w:b/>
          <w:bCs/>
          <w:snapToGrid w:val="0"/>
          <w:sz w:val="20"/>
        </w:rPr>
        <w:t xml:space="preserve">Palestinian Central Bureau of Statistics, </w:t>
      </w:r>
      <w:r w:rsidRPr="00B343CC">
        <w:rPr>
          <w:rFonts w:hint="cs"/>
          <w:b/>
          <w:bCs/>
          <w:snapToGrid w:val="0"/>
          <w:sz w:val="20"/>
          <w:rtl/>
        </w:rPr>
        <w:t>2023</w:t>
      </w:r>
      <w:r w:rsidRPr="00B343CC">
        <w:rPr>
          <w:b/>
          <w:bCs/>
          <w:snapToGrid w:val="0"/>
          <w:sz w:val="20"/>
        </w:rPr>
        <w:t xml:space="preserve">. </w:t>
      </w:r>
      <w:r w:rsidRPr="00B343CC">
        <w:rPr>
          <w:snapToGrid w:val="0"/>
          <w:sz w:val="20"/>
        </w:rPr>
        <w:t>Revised Estimated based on the final results of Population, Housing and Establishments Census, 2017. Ramallah – Palestine.</w:t>
      </w:r>
    </w:p>
    <w:p w14:paraId="5C645266" w14:textId="77777777" w:rsidR="00DE447E" w:rsidRPr="00B343CC" w:rsidRDefault="00DE447E" w:rsidP="00323AE5">
      <w:pPr>
        <w:bidi w:val="0"/>
        <w:ind w:left="66"/>
        <w:jc w:val="both"/>
        <w:rPr>
          <w:rFonts w:cs="Times New Roman"/>
          <w:sz w:val="12"/>
          <w:szCs w:val="12"/>
        </w:rPr>
      </w:pPr>
      <w:r w:rsidRPr="00B343CC">
        <w:rPr>
          <w:rFonts w:cs="Times New Roman"/>
          <w:b/>
          <w:bCs/>
          <w:snapToGrid w:val="0"/>
        </w:rPr>
        <w:tab/>
      </w:r>
    </w:p>
    <w:p w14:paraId="0FB9F7E9" w14:textId="5B170ACD" w:rsidR="00DE447E" w:rsidRPr="00B343CC"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B343CC">
        <w:rPr>
          <w:b/>
          <w:bCs/>
          <w:snapToGrid w:val="0"/>
          <w:sz w:val="20"/>
        </w:rPr>
        <w:t xml:space="preserve">Palestinian Central Bureau of Statistics, </w:t>
      </w:r>
      <w:r w:rsidRPr="00B343CC">
        <w:rPr>
          <w:b/>
          <w:bCs/>
          <w:snapToGrid w:val="0"/>
          <w:sz w:val="20"/>
          <w:rtl/>
        </w:rPr>
        <w:t xml:space="preserve"> </w:t>
      </w:r>
      <w:r w:rsidRPr="00B343CC">
        <w:rPr>
          <w:rFonts w:hint="cs"/>
          <w:b/>
          <w:bCs/>
          <w:snapToGrid w:val="0"/>
          <w:sz w:val="20"/>
          <w:rtl/>
        </w:rPr>
        <w:t>2023</w:t>
      </w:r>
      <w:r w:rsidRPr="00B343CC">
        <w:rPr>
          <w:b/>
          <w:bCs/>
          <w:snapToGrid w:val="0"/>
          <w:sz w:val="20"/>
        </w:rPr>
        <w:t xml:space="preserve">. </w:t>
      </w:r>
      <w:r w:rsidRPr="00B343CC">
        <w:rPr>
          <w:snapToGrid w:val="0"/>
          <w:sz w:val="20"/>
        </w:rPr>
        <w:t xml:space="preserve">Database of Marriage and Divorce Database, </w:t>
      </w:r>
      <w:r w:rsidRPr="00B343CC">
        <w:rPr>
          <w:rFonts w:hint="cs"/>
          <w:snapToGrid w:val="0"/>
          <w:sz w:val="20"/>
          <w:rtl/>
        </w:rPr>
        <w:t>2022</w:t>
      </w:r>
      <w:r w:rsidRPr="00B343CC">
        <w:rPr>
          <w:snapToGrid w:val="0"/>
          <w:sz w:val="20"/>
        </w:rPr>
        <w:t>. Ramallah-Palestine</w:t>
      </w:r>
      <w:r w:rsidRPr="00B343CC">
        <w:rPr>
          <w:snapToGrid w:val="0"/>
          <w:sz w:val="20"/>
          <w:rtl/>
        </w:rPr>
        <w:t>.</w:t>
      </w:r>
    </w:p>
    <w:p w14:paraId="6C686BDA" w14:textId="77777777" w:rsidR="00BF41A3" w:rsidRPr="00B343CC" w:rsidRDefault="00BF41A3" w:rsidP="00323AE5">
      <w:pPr>
        <w:bidi w:val="0"/>
        <w:ind w:left="66"/>
        <w:jc w:val="both"/>
        <w:rPr>
          <w:rFonts w:cs="Times New Roman"/>
          <w:sz w:val="12"/>
          <w:szCs w:val="12"/>
        </w:rPr>
      </w:pPr>
    </w:p>
    <w:p w14:paraId="7CFE6B99" w14:textId="77777777" w:rsidR="00DE447E" w:rsidRPr="00B343CC"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B343CC">
        <w:rPr>
          <w:b/>
          <w:bCs/>
          <w:snapToGrid w:val="0"/>
          <w:sz w:val="20"/>
        </w:rPr>
        <w:t xml:space="preserve">Palestinian Central Bureau of Statistics, </w:t>
      </w:r>
      <w:r w:rsidRPr="00B343CC">
        <w:rPr>
          <w:rFonts w:hint="cs"/>
          <w:b/>
          <w:bCs/>
          <w:snapToGrid w:val="0"/>
          <w:sz w:val="20"/>
          <w:rtl/>
        </w:rPr>
        <w:t>2022</w:t>
      </w:r>
      <w:r w:rsidRPr="00B343CC">
        <w:rPr>
          <w:b/>
          <w:bCs/>
          <w:snapToGrid w:val="0"/>
          <w:sz w:val="20"/>
        </w:rPr>
        <w:t>.</w:t>
      </w:r>
      <w:r w:rsidRPr="00B343CC">
        <w:rPr>
          <w:rFonts w:hint="cs"/>
          <w:snapToGrid w:val="0"/>
          <w:sz w:val="20"/>
          <w:rtl/>
        </w:rPr>
        <w:t xml:space="preserve"> </w:t>
      </w:r>
      <w:r w:rsidRPr="00B343CC">
        <w:rPr>
          <w:snapToGrid w:val="0"/>
          <w:sz w:val="20"/>
        </w:rPr>
        <w:t>Multiple Indicator Cluster Surveys Series, 2010, 2014, 2019-2020.  Ramallah – Palestine.</w:t>
      </w:r>
    </w:p>
    <w:p w14:paraId="4772D1E1" w14:textId="77777777" w:rsidR="00DE447E" w:rsidRPr="00B343CC" w:rsidRDefault="00DE447E" w:rsidP="00323AE5">
      <w:pPr>
        <w:bidi w:val="0"/>
        <w:ind w:left="66"/>
        <w:jc w:val="both"/>
        <w:rPr>
          <w:rFonts w:cs="Times New Roman"/>
          <w:sz w:val="12"/>
          <w:szCs w:val="12"/>
        </w:rPr>
      </w:pPr>
    </w:p>
    <w:p w14:paraId="1AEA83FA" w14:textId="77777777" w:rsidR="00DE447E" w:rsidRPr="00B343CC" w:rsidRDefault="00DE447E" w:rsidP="00323AE5">
      <w:pPr>
        <w:pStyle w:val="ListParagraph"/>
        <w:numPr>
          <w:ilvl w:val="0"/>
          <w:numId w:val="6"/>
        </w:numPr>
        <w:tabs>
          <w:tab w:val="num" w:pos="672"/>
          <w:tab w:val="num" w:pos="700"/>
        </w:tabs>
        <w:overflowPunct w:val="0"/>
        <w:autoSpaceDE w:val="0"/>
        <w:autoSpaceDN w:val="0"/>
        <w:bidi w:val="0"/>
        <w:adjustRightInd w:val="0"/>
        <w:ind w:left="686" w:right="-143" w:hanging="280"/>
        <w:jc w:val="both"/>
        <w:textAlignment w:val="baseline"/>
        <w:rPr>
          <w:snapToGrid w:val="0"/>
          <w:sz w:val="20"/>
        </w:rPr>
      </w:pPr>
      <w:r w:rsidRPr="00B343CC">
        <w:rPr>
          <w:b/>
          <w:bCs/>
          <w:snapToGrid w:val="0"/>
          <w:sz w:val="20"/>
        </w:rPr>
        <w:t xml:space="preserve">Ministry of Health, </w:t>
      </w:r>
      <w:r w:rsidRPr="00B343CC">
        <w:rPr>
          <w:snapToGrid w:val="0"/>
          <w:sz w:val="20"/>
        </w:rPr>
        <w:t>PHIC, Health Status – Palestine, 2020-2022.</w:t>
      </w:r>
    </w:p>
    <w:p w14:paraId="31D5BC21" w14:textId="77777777" w:rsidR="00DE447E" w:rsidRPr="00B343CC" w:rsidRDefault="00DE447E" w:rsidP="00323AE5">
      <w:pPr>
        <w:bidi w:val="0"/>
        <w:ind w:left="66"/>
        <w:jc w:val="both"/>
        <w:rPr>
          <w:rFonts w:cs="Times New Roman"/>
          <w:sz w:val="12"/>
          <w:szCs w:val="12"/>
        </w:rPr>
      </w:pPr>
    </w:p>
    <w:p w14:paraId="6F9EFB34" w14:textId="77777777" w:rsidR="00DE447E" w:rsidRPr="00B343CC"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B343CC">
        <w:rPr>
          <w:b/>
          <w:bCs/>
          <w:snapToGrid w:val="0"/>
          <w:sz w:val="20"/>
        </w:rPr>
        <w:t xml:space="preserve">Palestinian Central Bureau of Statistics, </w:t>
      </w:r>
      <w:r w:rsidRPr="00B343CC">
        <w:rPr>
          <w:b/>
          <w:bCs/>
          <w:snapToGrid w:val="0"/>
          <w:sz w:val="20"/>
          <w:rtl/>
        </w:rPr>
        <w:t>202</w:t>
      </w:r>
      <w:r w:rsidRPr="00B343CC">
        <w:rPr>
          <w:b/>
          <w:bCs/>
          <w:snapToGrid w:val="0"/>
          <w:sz w:val="20"/>
        </w:rPr>
        <w:t xml:space="preserve">2. </w:t>
      </w:r>
      <w:r w:rsidRPr="00B343CC">
        <w:rPr>
          <w:snapToGrid w:val="0"/>
          <w:sz w:val="20"/>
        </w:rPr>
        <w:t>Smoking and Tobacco Consumption, 2021. Main Findings. Ramallah – Palestine.</w:t>
      </w:r>
    </w:p>
    <w:p w14:paraId="4117E317" w14:textId="77777777" w:rsidR="00DE447E" w:rsidRPr="00B343CC" w:rsidRDefault="00DE447E" w:rsidP="00323AE5">
      <w:pPr>
        <w:bidi w:val="0"/>
        <w:ind w:left="66"/>
        <w:jc w:val="both"/>
        <w:rPr>
          <w:rFonts w:cs="Times New Roman"/>
          <w:sz w:val="12"/>
          <w:szCs w:val="12"/>
        </w:rPr>
      </w:pPr>
    </w:p>
    <w:p w14:paraId="4C6FC418" w14:textId="77777777" w:rsidR="00DE447E" w:rsidRPr="00B343CC"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B343CC">
        <w:rPr>
          <w:b/>
          <w:bCs/>
          <w:snapToGrid w:val="0"/>
          <w:sz w:val="20"/>
        </w:rPr>
        <w:t xml:space="preserve">Palestinian Central Bureau of Statistics, 2023. </w:t>
      </w:r>
      <w:r w:rsidRPr="00B343CC">
        <w:rPr>
          <w:snapToGrid w:val="0"/>
          <w:sz w:val="20"/>
        </w:rPr>
        <w:t>Labour Force Database 2020-2022. Ramallah – Palestine.</w:t>
      </w:r>
    </w:p>
    <w:p w14:paraId="76C2A548" w14:textId="77777777" w:rsidR="00DE447E" w:rsidRPr="00B343CC" w:rsidRDefault="00DE447E" w:rsidP="00323AE5">
      <w:pPr>
        <w:bidi w:val="0"/>
        <w:ind w:left="66"/>
        <w:jc w:val="both"/>
        <w:rPr>
          <w:rFonts w:cs="Times New Roman"/>
          <w:sz w:val="12"/>
          <w:szCs w:val="12"/>
        </w:rPr>
      </w:pPr>
    </w:p>
    <w:p w14:paraId="244BAFD2" w14:textId="60208FFE" w:rsidR="00DE447E" w:rsidRPr="00B343CC" w:rsidRDefault="00164851" w:rsidP="00323AE5">
      <w:pPr>
        <w:pStyle w:val="ListParagraph"/>
        <w:numPr>
          <w:ilvl w:val="0"/>
          <w:numId w:val="6"/>
        </w:numPr>
        <w:tabs>
          <w:tab w:val="num" w:pos="928"/>
        </w:tabs>
        <w:overflowPunct w:val="0"/>
        <w:autoSpaceDE w:val="0"/>
        <w:autoSpaceDN w:val="0"/>
        <w:bidi w:val="0"/>
        <w:adjustRightInd w:val="0"/>
        <w:ind w:right="0"/>
        <w:jc w:val="both"/>
        <w:textAlignment w:val="baseline"/>
        <w:rPr>
          <w:snapToGrid w:val="0"/>
          <w:sz w:val="20"/>
        </w:rPr>
      </w:pPr>
      <w:r w:rsidRPr="00B343CC">
        <w:rPr>
          <w:b/>
          <w:bCs/>
          <w:snapToGrid w:val="0"/>
          <w:sz w:val="20"/>
        </w:rPr>
        <w:t xml:space="preserve">Ministry of Education and Higher Education, </w:t>
      </w:r>
      <w:r w:rsidRPr="00B343CC">
        <w:rPr>
          <w:rFonts w:hint="cs"/>
          <w:b/>
          <w:bCs/>
          <w:snapToGrid w:val="0"/>
          <w:sz w:val="20"/>
          <w:rtl/>
        </w:rPr>
        <w:t>2025</w:t>
      </w:r>
      <w:r w:rsidRPr="00B343CC">
        <w:rPr>
          <w:b/>
          <w:bCs/>
          <w:snapToGrid w:val="0"/>
          <w:sz w:val="20"/>
        </w:rPr>
        <w:t>.</w:t>
      </w:r>
      <w:r w:rsidRPr="00B343CC">
        <w:rPr>
          <w:snapToGrid w:val="0"/>
          <w:sz w:val="20"/>
        </w:rPr>
        <w:t xml:space="preserve"> Education Statistical Yearbook for the Scholastic Years </w:t>
      </w:r>
      <w:r w:rsidRPr="00B343CC">
        <w:rPr>
          <w:rFonts w:hint="cs"/>
          <w:snapToGrid w:val="0"/>
          <w:sz w:val="20"/>
          <w:rtl/>
        </w:rPr>
        <w:t>2018</w:t>
      </w:r>
      <w:r w:rsidRPr="00B343CC">
        <w:rPr>
          <w:snapToGrid w:val="0"/>
          <w:sz w:val="20"/>
        </w:rPr>
        <w:t>/</w:t>
      </w:r>
      <w:r w:rsidRPr="00B343CC">
        <w:rPr>
          <w:rFonts w:hint="cs"/>
          <w:snapToGrid w:val="0"/>
          <w:sz w:val="20"/>
          <w:rtl/>
        </w:rPr>
        <w:t>2019</w:t>
      </w:r>
      <w:r w:rsidRPr="00B343CC">
        <w:rPr>
          <w:snapToGrid w:val="0"/>
          <w:sz w:val="20"/>
        </w:rPr>
        <w:t>-</w:t>
      </w:r>
      <w:r w:rsidRPr="00B343CC">
        <w:rPr>
          <w:rFonts w:hint="cs"/>
          <w:snapToGrid w:val="0"/>
          <w:sz w:val="20"/>
          <w:rtl/>
        </w:rPr>
        <w:t>2024</w:t>
      </w:r>
      <w:r w:rsidRPr="00B343CC">
        <w:rPr>
          <w:snapToGrid w:val="0"/>
          <w:sz w:val="20"/>
        </w:rPr>
        <w:t>/</w:t>
      </w:r>
      <w:r w:rsidRPr="00B343CC">
        <w:rPr>
          <w:rFonts w:hint="cs"/>
          <w:snapToGrid w:val="0"/>
          <w:sz w:val="20"/>
          <w:rtl/>
        </w:rPr>
        <w:t>2025</w:t>
      </w:r>
      <w:r w:rsidRPr="00B343CC">
        <w:rPr>
          <w:snapToGrid w:val="0"/>
          <w:sz w:val="20"/>
        </w:rPr>
        <w:t>. Ramallah - Palestine</w:t>
      </w:r>
      <w:r w:rsidRPr="00B343CC">
        <w:rPr>
          <w:snapToGrid w:val="0"/>
          <w:sz w:val="20"/>
          <w:rtl/>
        </w:rPr>
        <w:t>.</w:t>
      </w:r>
    </w:p>
    <w:p w14:paraId="06A4DE17" w14:textId="77777777" w:rsidR="00DE447E" w:rsidRPr="00B343CC" w:rsidRDefault="00DE447E" w:rsidP="00323AE5">
      <w:pPr>
        <w:bidi w:val="0"/>
        <w:ind w:left="66"/>
        <w:jc w:val="both"/>
        <w:rPr>
          <w:rFonts w:cs="Times New Roman"/>
          <w:sz w:val="12"/>
          <w:szCs w:val="12"/>
        </w:rPr>
      </w:pPr>
    </w:p>
    <w:p w14:paraId="7DE8C0D0" w14:textId="2BF4989B" w:rsidR="00DE447E" w:rsidRPr="00B343CC" w:rsidRDefault="00164851" w:rsidP="00323AE5">
      <w:pPr>
        <w:pStyle w:val="ListParagraph"/>
        <w:numPr>
          <w:ilvl w:val="0"/>
          <w:numId w:val="6"/>
        </w:numPr>
        <w:tabs>
          <w:tab w:val="num" w:pos="928"/>
        </w:tabs>
        <w:overflowPunct w:val="0"/>
        <w:autoSpaceDE w:val="0"/>
        <w:autoSpaceDN w:val="0"/>
        <w:bidi w:val="0"/>
        <w:adjustRightInd w:val="0"/>
        <w:ind w:right="0"/>
        <w:jc w:val="both"/>
        <w:textAlignment w:val="baseline"/>
        <w:rPr>
          <w:snapToGrid w:val="0"/>
          <w:sz w:val="20"/>
        </w:rPr>
      </w:pPr>
      <w:r w:rsidRPr="00B343CC">
        <w:rPr>
          <w:b/>
          <w:bCs/>
          <w:snapToGrid w:val="0"/>
          <w:sz w:val="20"/>
        </w:rPr>
        <w:t>Palestinian Central Bureau of Statistics, 2025.</w:t>
      </w:r>
      <w:r w:rsidRPr="00B343CC">
        <w:rPr>
          <w:snapToGrid w:val="0"/>
          <w:sz w:val="20"/>
        </w:rPr>
        <w:t xml:space="preserve"> Cultural Statistics Database, 2024. Ramallah - Palestine</w:t>
      </w:r>
      <w:r w:rsidRPr="00B343CC">
        <w:rPr>
          <w:snapToGrid w:val="0"/>
          <w:sz w:val="20"/>
          <w:rtl/>
        </w:rPr>
        <w:t>.</w:t>
      </w:r>
    </w:p>
    <w:p w14:paraId="6539EF0F" w14:textId="77777777" w:rsidR="007B593B" w:rsidRPr="00B343CC" w:rsidRDefault="007B593B" w:rsidP="00323AE5">
      <w:pPr>
        <w:bidi w:val="0"/>
        <w:ind w:left="66"/>
        <w:jc w:val="both"/>
        <w:rPr>
          <w:rFonts w:cs="Times New Roman"/>
          <w:sz w:val="12"/>
          <w:szCs w:val="12"/>
        </w:rPr>
      </w:pPr>
    </w:p>
    <w:p w14:paraId="7A950A42" w14:textId="22975205" w:rsidR="00DE447E" w:rsidRPr="00B343CC" w:rsidRDefault="00164851" w:rsidP="00323AE5">
      <w:pPr>
        <w:pStyle w:val="ListParagraph"/>
        <w:numPr>
          <w:ilvl w:val="0"/>
          <w:numId w:val="6"/>
        </w:numPr>
        <w:tabs>
          <w:tab w:val="num" w:pos="928"/>
        </w:tabs>
        <w:overflowPunct w:val="0"/>
        <w:autoSpaceDE w:val="0"/>
        <w:autoSpaceDN w:val="0"/>
        <w:bidi w:val="0"/>
        <w:adjustRightInd w:val="0"/>
        <w:ind w:right="0"/>
        <w:jc w:val="both"/>
        <w:textAlignment w:val="baseline"/>
        <w:rPr>
          <w:snapToGrid w:val="0"/>
          <w:sz w:val="20"/>
        </w:rPr>
      </w:pPr>
      <w:r w:rsidRPr="00B343CC">
        <w:rPr>
          <w:b/>
          <w:bCs/>
          <w:sz w:val="20"/>
        </w:rPr>
        <w:t xml:space="preserve">Higher Council for Youth and Sports, 2025. </w:t>
      </w:r>
      <w:r w:rsidRPr="00B343CC">
        <w:rPr>
          <w:sz w:val="20"/>
        </w:rPr>
        <w:t>Sport Clubs Data, 2024. Ramallah-Palestine</w:t>
      </w:r>
      <w:r w:rsidRPr="00B343CC">
        <w:rPr>
          <w:snapToGrid w:val="0"/>
          <w:sz w:val="20"/>
          <w:rtl/>
        </w:rPr>
        <w:t>.</w:t>
      </w:r>
    </w:p>
    <w:p w14:paraId="42B770D3" w14:textId="77777777" w:rsidR="00DE447E" w:rsidRPr="00B343CC" w:rsidRDefault="00DE447E" w:rsidP="00323AE5">
      <w:pPr>
        <w:bidi w:val="0"/>
        <w:ind w:left="66"/>
        <w:jc w:val="both"/>
        <w:rPr>
          <w:rFonts w:cs="Times New Roman"/>
          <w:sz w:val="12"/>
          <w:szCs w:val="12"/>
        </w:rPr>
      </w:pPr>
    </w:p>
    <w:p w14:paraId="12702965" w14:textId="150918AA" w:rsidR="00DE447E" w:rsidRPr="00B343CC" w:rsidRDefault="00164851" w:rsidP="00323AE5">
      <w:pPr>
        <w:pStyle w:val="ListParagraph"/>
        <w:numPr>
          <w:ilvl w:val="0"/>
          <w:numId w:val="6"/>
        </w:numPr>
        <w:tabs>
          <w:tab w:val="num" w:pos="928"/>
        </w:tabs>
        <w:overflowPunct w:val="0"/>
        <w:autoSpaceDE w:val="0"/>
        <w:autoSpaceDN w:val="0"/>
        <w:bidi w:val="0"/>
        <w:adjustRightInd w:val="0"/>
        <w:jc w:val="both"/>
        <w:textAlignment w:val="baseline"/>
        <w:rPr>
          <w:snapToGrid w:val="0"/>
          <w:sz w:val="20"/>
        </w:rPr>
      </w:pPr>
      <w:r w:rsidRPr="00B343CC">
        <w:rPr>
          <w:b/>
          <w:bCs/>
          <w:snapToGrid w:val="0"/>
          <w:sz w:val="20"/>
        </w:rPr>
        <w:t>The Ministry of Awqaf and Religious Affairs, 2025</w:t>
      </w:r>
      <w:r w:rsidRPr="00B343CC">
        <w:rPr>
          <w:snapToGrid w:val="0"/>
          <w:sz w:val="20"/>
        </w:rPr>
        <w:t>. Mosques Data 2024. Ramallah- Palestine.</w:t>
      </w:r>
    </w:p>
    <w:p w14:paraId="73F0B9E4" w14:textId="77777777" w:rsidR="007B593B" w:rsidRPr="00B343CC" w:rsidRDefault="007B593B" w:rsidP="00323AE5">
      <w:pPr>
        <w:bidi w:val="0"/>
        <w:ind w:left="66"/>
        <w:jc w:val="both"/>
        <w:rPr>
          <w:rFonts w:cs="Times New Roman"/>
          <w:sz w:val="12"/>
          <w:szCs w:val="12"/>
        </w:rPr>
      </w:pPr>
    </w:p>
    <w:p w14:paraId="7518547D" w14:textId="77777777" w:rsidR="007B593B" w:rsidRPr="00B343CC" w:rsidRDefault="007B593B" w:rsidP="00323AE5">
      <w:pPr>
        <w:pStyle w:val="ListParagraph"/>
        <w:numPr>
          <w:ilvl w:val="0"/>
          <w:numId w:val="6"/>
        </w:numPr>
        <w:overflowPunct w:val="0"/>
        <w:autoSpaceDE w:val="0"/>
        <w:autoSpaceDN w:val="0"/>
        <w:bidi w:val="0"/>
        <w:adjustRightInd w:val="0"/>
        <w:ind w:right="0"/>
        <w:jc w:val="both"/>
        <w:textAlignment w:val="baseline"/>
        <w:rPr>
          <w:rFonts w:cs="Times New Roman"/>
          <w:sz w:val="20"/>
        </w:rPr>
      </w:pPr>
      <w:r w:rsidRPr="00B343CC">
        <w:rPr>
          <w:rFonts w:cs="Times New Roman"/>
          <w:b/>
          <w:bCs/>
          <w:sz w:val="20"/>
        </w:rPr>
        <w:t xml:space="preserve">Palestinian Central Bureau of Statistics, 2018.  </w:t>
      </w:r>
      <w:r w:rsidRPr="00B343CC">
        <w:rPr>
          <w:rFonts w:cs="Times New Roman"/>
          <w:sz w:val="20"/>
        </w:rPr>
        <w:t>Population, Housing and Establishments Census 2017: Census Final Results - Summary. 2017</w:t>
      </w:r>
    </w:p>
    <w:p w14:paraId="416E3892" w14:textId="77777777" w:rsidR="007B593B" w:rsidRPr="00B343CC" w:rsidRDefault="007B593B" w:rsidP="00323AE5">
      <w:pPr>
        <w:bidi w:val="0"/>
        <w:ind w:left="66"/>
        <w:jc w:val="both"/>
        <w:rPr>
          <w:rFonts w:cs="Times New Roman"/>
          <w:sz w:val="12"/>
          <w:szCs w:val="12"/>
        </w:rPr>
      </w:pPr>
    </w:p>
    <w:p w14:paraId="3C7D07F0" w14:textId="3CA912BD" w:rsidR="007B593B" w:rsidRPr="00B343CC" w:rsidRDefault="007B593B"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napToGrid w:val="0"/>
          <w:sz w:val="20"/>
        </w:rPr>
        <w:t xml:space="preserve">Palestinian Central Bureau of Statistics, </w:t>
      </w:r>
      <w:r w:rsidRPr="00B343CC">
        <w:rPr>
          <w:rFonts w:cs="Times New Roman" w:hint="cs"/>
          <w:b/>
          <w:bCs/>
          <w:snapToGrid w:val="0"/>
          <w:sz w:val="20"/>
          <w:rtl/>
        </w:rPr>
        <w:t>2022</w:t>
      </w:r>
      <w:r w:rsidRPr="00B343CC">
        <w:rPr>
          <w:rFonts w:cs="Times New Roman"/>
          <w:b/>
          <w:bCs/>
          <w:snapToGrid w:val="0"/>
          <w:sz w:val="20"/>
        </w:rPr>
        <w:t>.</w:t>
      </w:r>
      <w:r w:rsidRPr="00B343CC">
        <w:rPr>
          <w:rFonts w:cs="Times New Roman"/>
          <w:snapToGrid w:val="0"/>
          <w:sz w:val="20"/>
        </w:rPr>
        <w:t xml:space="preserve"> Socio-Economic Conditions Survey, </w:t>
      </w:r>
      <w:r w:rsidRPr="00B343CC">
        <w:rPr>
          <w:rFonts w:cs="Times New Roman" w:hint="cs"/>
          <w:snapToGrid w:val="0"/>
          <w:sz w:val="20"/>
          <w:rtl/>
        </w:rPr>
        <w:t>2020</w:t>
      </w:r>
      <w:r w:rsidRPr="00B343CC">
        <w:rPr>
          <w:rFonts w:cs="Times New Roman"/>
          <w:snapToGrid w:val="0"/>
          <w:sz w:val="20"/>
        </w:rPr>
        <w:t xml:space="preserve">. </w:t>
      </w:r>
      <w:r w:rsidRPr="00B343CC">
        <w:rPr>
          <w:rFonts w:cs="Times New Roman"/>
          <w:snapToGrid w:val="0"/>
          <w:sz w:val="20"/>
          <w:rtl/>
        </w:rPr>
        <w:t xml:space="preserve"> </w:t>
      </w:r>
      <w:r w:rsidRPr="00B343CC">
        <w:rPr>
          <w:rFonts w:cs="Times New Roman"/>
          <w:snapToGrid w:val="0"/>
          <w:sz w:val="20"/>
        </w:rPr>
        <w:t>Ramallah</w:t>
      </w:r>
      <w:r w:rsidRPr="00B343CC">
        <w:rPr>
          <w:rFonts w:cs="Times New Roman"/>
          <w:snapToGrid w:val="0"/>
          <w:sz w:val="20"/>
          <w:rtl/>
        </w:rPr>
        <w:t xml:space="preserve"> - </w:t>
      </w:r>
      <w:r w:rsidRPr="00B343CC">
        <w:rPr>
          <w:rFonts w:cs="Times New Roman"/>
          <w:snapToGrid w:val="0"/>
          <w:sz w:val="20"/>
        </w:rPr>
        <w:t>Palestine</w:t>
      </w:r>
      <w:r w:rsidRPr="00B343CC">
        <w:rPr>
          <w:rFonts w:cs="Times New Roman"/>
          <w:snapToGrid w:val="0"/>
          <w:sz w:val="20"/>
          <w:rtl/>
        </w:rPr>
        <w:t>.</w:t>
      </w:r>
    </w:p>
    <w:p w14:paraId="23A6664B" w14:textId="77777777" w:rsidR="00ED060A" w:rsidRPr="00B343CC" w:rsidRDefault="00ED060A" w:rsidP="00323AE5">
      <w:pPr>
        <w:bidi w:val="0"/>
        <w:ind w:left="66"/>
        <w:jc w:val="both"/>
        <w:rPr>
          <w:rFonts w:cs="Times New Roman"/>
          <w:sz w:val="12"/>
          <w:szCs w:val="12"/>
        </w:rPr>
      </w:pPr>
    </w:p>
    <w:p w14:paraId="41AF187F" w14:textId="77777777" w:rsidR="00AD0147" w:rsidRPr="00B343CC" w:rsidRDefault="00AD0147" w:rsidP="00323AE5">
      <w:pPr>
        <w:pStyle w:val="ListParagraph"/>
        <w:numPr>
          <w:ilvl w:val="0"/>
          <w:numId w:val="6"/>
        </w:numPr>
        <w:overflowPunct w:val="0"/>
        <w:autoSpaceDE w:val="0"/>
        <w:autoSpaceDN w:val="0"/>
        <w:bidi w:val="0"/>
        <w:adjustRightInd w:val="0"/>
        <w:ind w:right="0"/>
        <w:jc w:val="both"/>
        <w:textAlignment w:val="baseline"/>
        <w:rPr>
          <w:rFonts w:cs="Times New Roman"/>
          <w:b/>
          <w:bCs/>
          <w:snapToGrid w:val="0"/>
          <w:sz w:val="20"/>
        </w:rPr>
      </w:pPr>
      <w:r w:rsidRPr="00B343CC">
        <w:rPr>
          <w:rFonts w:cs="Times New Roman"/>
          <w:b/>
          <w:bCs/>
          <w:snapToGrid w:val="0"/>
          <w:sz w:val="20"/>
        </w:rPr>
        <w:t xml:space="preserve">Palestinian Central Bureau of Statistics, </w:t>
      </w:r>
      <w:r w:rsidRPr="00B343CC">
        <w:rPr>
          <w:rFonts w:cs="Times New Roman" w:hint="cs"/>
          <w:b/>
          <w:bCs/>
          <w:snapToGrid w:val="0"/>
          <w:sz w:val="20"/>
          <w:rtl/>
        </w:rPr>
        <w:t>2022</w:t>
      </w:r>
      <w:r w:rsidRPr="00B343CC">
        <w:rPr>
          <w:rFonts w:cs="Times New Roman"/>
          <w:b/>
          <w:bCs/>
          <w:snapToGrid w:val="0"/>
          <w:sz w:val="20"/>
        </w:rPr>
        <w:t xml:space="preserve">. </w:t>
      </w:r>
      <w:r w:rsidRPr="00B343CC">
        <w:rPr>
          <w:rFonts w:cs="Times New Roman"/>
          <w:snapToGrid w:val="0"/>
          <w:sz w:val="20"/>
        </w:rPr>
        <w:t>Agricultural Census 2021, Final Results.  Ramallah - Palestine.</w:t>
      </w:r>
      <w:r w:rsidRPr="00B343CC">
        <w:rPr>
          <w:rFonts w:cs="Times New Roman"/>
          <w:b/>
          <w:bCs/>
          <w:snapToGrid w:val="0"/>
          <w:sz w:val="20"/>
        </w:rPr>
        <w:t xml:space="preserve"> </w:t>
      </w:r>
    </w:p>
    <w:p w14:paraId="754BA463" w14:textId="77777777" w:rsidR="00FA2D8D" w:rsidRPr="00B343CC" w:rsidRDefault="00FA2D8D" w:rsidP="00323AE5">
      <w:pPr>
        <w:bidi w:val="0"/>
        <w:ind w:left="66"/>
        <w:jc w:val="both"/>
        <w:rPr>
          <w:rFonts w:cs="Times New Roman"/>
          <w:sz w:val="12"/>
          <w:szCs w:val="12"/>
        </w:rPr>
      </w:pPr>
    </w:p>
    <w:p w14:paraId="71EE6B83" w14:textId="77777777" w:rsidR="00FA2D8D" w:rsidRPr="00B343CC" w:rsidRDefault="00FA2D8D"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napToGrid w:val="0"/>
          <w:sz w:val="20"/>
        </w:rPr>
        <w:t xml:space="preserve">Palestinian Central Bureau of Statistics, 2021. </w:t>
      </w:r>
      <w:r w:rsidRPr="00B343CC">
        <w:rPr>
          <w:rFonts w:cs="Times New Roman"/>
          <w:snapToGrid w:val="0"/>
          <w:sz w:val="20"/>
        </w:rPr>
        <w:t>Statistical Water Tables Palestine, 2020. Ramallah – Palestine</w:t>
      </w:r>
      <w:r w:rsidRPr="00B343CC">
        <w:rPr>
          <w:rFonts w:cs="Times New Roman"/>
          <w:snapToGrid w:val="0"/>
          <w:sz w:val="20"/>
          <w:rtl/>
        </w:rPr>
        <w:t>.</w:t>
      </w:r>
    </w:p>
    <w:p w14:paraId="629F830A" w14:textId="77777777" w:rsidR="009F6D13" w:rsidRPr="00B343CC" w:rsidRDefault="009F6D13" w:rsidP="00323AE5">
      <w:pPr>
        <w:bidi w:val="0"/>
        <w:ind w:left="66"/>
        <w:jc w:val="both"/>
        <w:rPr>
          <w:rFonts w:cs="Times New Roman"/>
          <w:sz w:val="12"/>
          <w:szCs w:val="12"/>
        </w:rPr>
      </w:pPr>
    </w:p>
    <w:p w14:paraId="1C72F99E" w14:textId="77777777" w:rsidR="008E672C" w:rsidRPr="00B343CC" w:rsidRDefault="008E672C"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napToGrid w:val="0"/>
          <w:sz w:val="20"/>
        </w:rPr>
        <w:t>Palestinian Central Bureau of Statistics, 2021</w:t>
      </w:r>
      <w:r w:rsidRPr="00B343CC">
        <w:rPr>
          <w:rFonts w:cs="Times New Roman"/>
          <w:snapToGrid w:val="0"/>
          <w:sz w:val="20"/>
        </w:rPr>
        <w:t>. Israeli Settlements in Palestine:  Annual Statistical Report 2020. Ramallah - Palestine</w:t>
      </w:r>
      <w:r w:rsidRPr="00B343CC">
        <w:rPr>
          <w:rFonts w:cs="Times New Roman"/>
          <w:snapToGrid w:val="0"/>
          <w:sz w:val="20"/>
          <w:rtl/>
        </w:rPr>
        <w:t>.</w:t>
      </w:r>
    </w:p>
    <w:p w14:paraId="01DED3DB" w14:textId="77777777" w:rsidR="0039242B" w:rsidRPr="00B343CC" w:rsidRDefault="0039242B" w:rsidP="00323AE5">
      <w:pPr>
        <w:bidi w:val="0"/>
        <w:ind w:left="66"/>
        <w:jc w:val="both"/>
        <w:rPr>
          <w:rFonts w:cs="Times New Roman"/>
          <w:sz w:val="12"/>
          <w:szCs w:val="12"/>
        </w:rPr>
      </w:pPr>
    </w:p>
    <w:p w14:paraId="5C72278A" w14:textId="6AAEF5D4" w:rsidR="0039242B" w:rsidRPr="00B343CC" w:rsidRDefault="0039242B" w:rsidP="00323AE5">
      <w:pPr>
        <w:pStyle w:val="ListParagraph"/>
        <w:numPr>
          <w:ilvl w:val="0"/>
          <w:numId w:val="6"/>
        </w:numPr>
        <w:tabs>
          <w:tab w:val="num" w:pos="928"/>
        </w:tabs>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napToGrid w:val="0"/>
          <w:sz w:val="20"/>
        </w:rPr>
        <w:lastRenderedPageBreak/>
        <w:t xml:space="preserve">Palestinian Water Authority, </w:t>
      </w:r>
      <w:r w:rsidR="00B84EF1" w:rsidRPr="00B343CC">
        <w:rPr>
          <w:rFonts w:cs="Times New Roman"/>
          <w:b/>
          <w:bCs/>
          <w:snapToGrid w:val="0"/>
          <w:sz w:val="20"/>
        </w:rPr>
        <w:t>2020</w:t>
      </w:r>
      <w:r w:rsidRPr="00B343CC">
        <w:rPr>
          <w:rFonts w:cs="Times New Roman"/>
          <w:b/>
          <w:bCs/>
          <w:snapToGrid w:val="0"/>
          <w:sz w:val="20"/>
        </w:rPr>
        <w:t>.</w:t>
      </w:r>
      <w:r w:rsidRPr="00B343CC">
        <w:rPr>
          <w:rFonts w:cs="Times New Roman"/>
          <w:sz w:val="20"/>
        </w:rPr>
        <w:t xml:space="preserve"> </w:t>
      </w:r>
      <w:r w:rsidRPr="00B343CC">
        <w:rPr>
          <w:rFonts w:cs="Times New Roman"/>
          <w:snapToGrid w:val="0"/>
          <w:sz w:val="20"/>
        </w:rPr>
        <w:t xml:space="preserve">Water Information </w:t>
      </w:r>
      <w:r w:rsidR="00466434" w:rsidRPr="00B343CC">
        <w:rPr>
          <w:rFonts w:cs="Times New Roman"/>
          <w:snapToGrid w:val="0"/>
          <w:sz w:val="20"/>
        </w:rPr>
        <w:t xml:space="preserve">System.                    </w:t>
      </w:r>
      <w:r w:rsidRPr="00B343CC">
        <w:rPr>
          <w:rFonts w:cs="Times New Roman"/>
          <w:snapToGrid w:val="0"/>
          <w:sz w:val="20"/>
        </w:rPr>
        <w:t>Ramallah - Palestine.</w:t>
      </w:r>
    </w:p>
    <w:p w14:paraId="2263AEB5" w14:textId="77777777" w:rsidR="000710B9" w:rsidRPr="00B343CC" w:rsidRDefault="000710B9" w:rsidP="00323AE5">
      <w:pPr>
        <w:bidi w:val="0"/>
        <w:ind w:left="66"/>
        <w:jc w:val="both"/>
        <w:rPr>
          <w:rFonts w:cs="Times New Roman"/>
          <w:sz w:val="12"/>
          <w:szCs w:val="12"/>
        </w:rPr>
      </w:pPr>
    </w:p>
    <w:p w14:paraId="65320A80" w14:textId="77777777" w:rsidR="000710B9" w:rsidRPr="00B343CC" w:rsidRDefault="000710B9" w:rsidP="00805739">
      <w:pPr>
        <w:numPr>
          <w:ilvl w:val="0"/>
          <w:numId w:val="6"/>
        </w:numPr>
        <w:tabs>
          <w:tab w:val="num" w:pos="928"/>
        </w:tabs>
        <w:overflowPunct w:val="0"/>
        <w:autoSpaceDE w:val="0"/>
        <w:autoSpaceDN w:val="0"/>
        <w:bidi w:val="0"/>
        <w:adjustRightInd w:val="0"/>
        <w:ind w:right="0"/>
        <w:jc w:val="both"/>
        <w:rPr>
          <w:rFonts w:cs="Times New Roman"/>
          <w:snapToGrid w:val="0"/>
        </w:rPr>
      </w:pPr>
      <w:r w:rsidRPr="00B343CC">
        <w:rPr>
          <w:rFonts w:cs="Times New Roman"/>
          <w:b/>
          <w:bCs/>
          <w:snapToGrid w:val="0"/>
        </w:rPr>
        <w:t xml:space="preserve">Palestinian Central Bureau of Statistics, </w:t>
      </w:r>
      <w:r w:rsidR="00805739" w:rsidRPr="00B343CC">
        <w:rPr>
          <w:rFonts w:cs="Times New Roman"/>
          <w:b/>
          <w:bCs/>
          <w:snapToGrid w:val="0"/>
        </w:rPr>
        <w:t>2023</w:t>
      </w:r>
      <w:r w:rsidRPr="00B343CC">
        <w:rPr>
          <w:rFonts w:cs="Times New Roman"/>
          <w:b/>
          <w:bCs/>
          <w:snapToGrid w:val="0"/>
        </w:rPr>
        <w:t>.</w:t>
      </w:r>
      <w:r w:rsidRPr="00B343CC">
        <w:rPr>
          <w:rFonts w:cs="Times New Roman"/>
          <w:snapToGrid w:val="0"/>
        </w:rPr>
        <w:t xml:space="preserve"> Energy Tables in Palestine </w:t>
      </w:r>
      <w:r w:rsidR="00805739" w:rsidRPr="00B343CC">
        <w:rPr>
          <w:rFonts w:cs="Times New Roman"/>
          <w:snapToGrid w:val="0"/>
        </w:rPr>
        <w:t>2022</w:t>
      </w:r>
      <w:r w:rsidRPr="00B343CC">
        <w:rPr>
          <w:rFonts w:cs="Times New Roman"/>
          <w:snapToGrid w:val="0"/>
        </w:rPr>
        <w:t>. Ramallah - Palestine</w:t>
      </w:r>
      <w:r w:rsidRPr="00B343CC">
        <w:rPr>
          <w:rFonts w:cs="Times New Roman"/>
          <w:snapToGrid w:val="0"/>
          <w:rtl/>
        </w:rPr>
        <w:t>.</w:t>
      </w:r>
    </w:p>
    <w:p w14:paraId="4BC9CBE8" w14:textId="77777777" w:rsidR="00452DE1" w:rsidRPr="00B343CC" w:rsidRDefault="00452DE1" w:rsidP="00323AE5">
      <w:pPr>
        <w:pStyle w:val="ListParagraph"/>
        <w:rPr>
          <w:rFonts w:cs="Times New Roman"/>
          <w:snapToGrid w:val="0"/>
        </w:rPr>
      </w:pPr>
    </w:p>
    <w:p w14:paraId="17A06358" w14:textId="77777777" w:rsidR="00452DE1" w:rsidRPr="00B343CC" w:rsidRDefault="00452DE1" w:rsidP="00805739">
      <w:pPr>
        <w:numPr>
          <w:ilvl w:val="0"/>
          <w:numId w:val="6"/>
        </w:numPr>
        <w:tabs>
          <w:tab w:val="num" w:pos="928"/>
        </w:tabs>
        <w:overflowPunct w:val="0"/>
        <w:autoSpaceDE w:val="0"/>
        <w:autoSpaceDN w:val="0"/>
        <w:bidi w:val="0"/>
        <w:adjustRightInd w:val="0"/>
        <w:ind w:right="0"/>
        <w:jc w:val="both"/>
        <w:rPr>
          <w:rFonts w:cs="Times New Roman"/>
          <w:snapToGrid w:val="0"/>
        </w:rPr>
      </w:pPr>
      <w:r w:rsidRPr="00B343CC">
        <w:rPr>
          <w:rFonts w:cs="Times New Roman"/>
          <w:b/>
          <w:bCs/>
          <w:snapToGrid w:val="0"/>
        </w:rPr>
        <w:t xml:space="preserve">Palestinian Central Bureau of Statistics </w:t>
      </w:r>
      <w:r w:rsidR="00805739" w:rsidRPr="00B343CC">
        <w:rPr>
          <w:rFonts w:cs="Times New Roman"/>
          <w:b/>
          <w:bCs/>
          <w:snapToGrid w:val="0"/>
        </w:rPr>
        <w:t>2023</w:t>
      </w:r>
      <w:r w:rsidRPr="00B343CC">
        <w:rPr>
          <w:rFonts w:cs="Times New Roman"/>
          <w:snapToGrid w:val="0"/>
        </w:rPr>
        <w:t xml:space="preserve">. Energy Balance of Palestine </w:t>
      </w:r>
      <w:r w:rsidR="00805739" w:rsidRPr="00B343CC">
        <w:rPr>
          <w:rFonts w:cs="Times New Roman"/>
          <w:snapToGrid w:val="0"/>
        </w:rPr>
        <w:t>2022</w:t>
      </w:r>
      <w:r w:rsidRPr="00B343CC">
        <w:rPr>
          <w:rFonts w:cs="Times New Roman"/>
          <w:snapToGrid w:val="0"/>
        </w:rPr>
        <w:t>.  Ramallah - Palestine.</w:t>
      </w:r>
    </w:p>
    <w:p w14:paraId="7F0FD532" w14:textId="77777777" w:rsidR="002D2437" w:rsidRPr="00B343CC" w:rsidRDefault="002D2437" w:rsidP="00323AE5">
      <w:pPr>
        <w:bidi w:val="0"/>
        <w:ind w:left="66"/>
        <w:jc w:val="both"/>
        <w:rPr>
          <w:rFonts w:cs="Times New Roman"/>
          <w:sz w:val="12"/>
          <w:szCs w:val="12"/>
        </w:rPr>
      </w:pPr>
    </w:p>
    <w:p w14:paraId="07A88B6D" w14:textId="77777777" w:rsidR="00F5242F" w:rsidRPr="00B343CC" w:rsidRDefault="00F5242F" w:rsidP="00F5242F">
      <w:pPr>
        <w:numPr>
          <w:ilvl w:val="0"/>
          <w:numId w:val="6"/>
        </w:numPr>
        <w:bidi w:val="0"/>
        <w:ind w:right="0"/>
        <w:jc w:val="both"/>
        <w:rPr>
          <w:rFonts w:cs="Times New Roman"/>
          <w:b/>
          <w:bCs/>
          <w:snapToGrid w:val="0"/>
        </w:rPr>
      </w:pPr>
      <w:r w:rsidRPr="00B343CC">
        <w:rPr>
          <w:rFonts w:cs="Times New Roman"/>
          <w:b/>
          <w:bCs/>
          <w:snapToGrid w:val="0"/>
        </w:rPr>
        <w:t>Metrological General Directorate, 2025. Ramallah-Palestine.</w:t>
      </w:r>
    </w:p>
    <w:p w14:paraId="67F98D17" w14:textId="77777777" w:rsidR="00F5242F" w:rsidRPr="00B343CC" w:rsidRDefault="00F5242F" w:rsidP="00F5242F">
      <w:pPr>
        <w:bidi w:val="0"/>
        <w:ind w:left="66"/>
        <w:jc w:val="both"/>
        <w:rPr>
          <w:rFonts w:cs="Times New Roman"/>
          <w:sz w:val="12"/>
          <w:szCs w:val="12"/>
        </w:rPr>
      </w:pPr>
    </w:p>
    <w:p w14:paraId="6BA6A9E8" w14:textId="77777777" w:rsidR="00F5242F" w:rsidRPr="00B343CC" w:rsidRDefault="00F5242F" w:rsidP="00F5242F">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z w:val="20"/>
        </w:rPr>
        <w:t xml:space="preserve">Palestinian Central Bureau of Statistics, </w:t>
      </w:r>
      <w:r w:rsidRPr="00B343CC">
        <w:rPr>
          <w:rFonts w:cs="Times New Roman" w:hint="cs"/>
          <w:b/>
          <w:bCs/>
          <w:sz w:val="20"/>
          <w:rtl/>
        </w:rPr>
        <w:t>2023</w:t>
      </w:r>
      <w:r w:rsidRPr="00B343CC">
        <w:rPr>
          <w:rFonts w:cs="Times New Roman"/>
          <w:b/>
          <w:bCs/>
          <w:sz w:val="20"/>
        </w:rPr>
        <w:t xml:space="preserve">. </w:t>
      </w:r>
      <w:r w:rsidRPr="00B343CC">
        <w:rPr>
          <w:rFonts w:cs="Times New Roman"/>
          <w:sz w:val="20"/>
        </w:rPr>
        <w:t>Emissions to Air, 2025. Ramallah - Palestine</w:t>
      </w:r>
      <w:r w:rsidRPr="00B343CC">
        <w:rPr>
          <w:rFonts w:cs="Times New Roman"/>
          <w:snapToGrid w:val="0"/>
          <w:sz w:val="20"/>
          <w:rtl/>
        </w:rPr>
        <w:t>.</w:t>
      </w:r>
    </w:p>
    <w:p w14:paraId="246E9FF1" w14:textId="77777777" w:rsidR="0070520D" w:rsidRPr="00B343CC" w:rsidRDefault="0070520D" w:rsidP="00323AE5">
      <w:pPr>
        <w:bidi w:val="0"/>
        <w:ind w:left="66"/>
        <w:jc w:val="both"/>
        <w:rPr>
          <w:rFonts w:cs="Times New Roman"/>
          <w:sz w:val="12"/>
          <w:szCs w:val="12"/>
        </w:rPr>
      </w:pPr>
    </w:p>
    <w:p w14:paraId="42FA9D18" w14:textId="77777777" w:rsidR="0070520D" w:rsidRPr="00B343CC" w:rsidRDefault="0070520D" w:rsidP="009D57D9">
      <w:pPr>
        <w:pStyle w:val="ListParagraph"/>
        <w:numPr>
          <w:ilvl w:val="0"/>
          <w:numId w:val="6"/>
        </w:numPr>
        <w:tabs>
          <w:tab w:val="num" w:pos="928"/>
        </w:tabs>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napToGrid w:val="0"/>
          <w:sz w:val="20"/>
        </w:rPr>
        <w:t xml:space="preserve">Palestinian Central Bureau of Statistics, </w:t>
      </w:r>
      <w:r w:rsidR="009D57D9" w:rsidRPr="00B343CC">
        <w:rPr>
          <w:rFonts w:cs="Times New Roman"/>
          <w:b/>
          <w:bCs/>
          <w:snapToGrid w:val="0"/>
          <w:sz w:val="20"/>
        </w:rPr>
        <w:t>2024</w:t>
      </w:r>
      <w:r w:rsidRPr="00B343CC">
        <w:rPr>
          <w:rFonts w:cs="Times New Roman"/>
          <w:b/>
          <w:bCs/>
          <w:snapToGrid w:val="0"/>
          <w:sz w:val="20"/>
        </w:rPr>
        <w:t>.</w:t>
      </w:r>
      <w:r w:rsidRPr="00B343CC">
        <w:rPr>
          <w:rFonts w:cs="Times New Roman"/>
          <w:snapToGrid w:val="0"/>
          <w:sz w:val="20"/>
        </w:rPr>
        <w:t xml:space="preserve"> Database of Security and Justice Statistics, 2015-</w:t>
      </w:r>
      <w:r w:rsidR="009D57D9" w:rsidRPr="00B343CC">
        <w:rPr>
          <w:rFonts w:cs="Times New Roman"/>
          <w:snapToGrid w:val="0"/>
          <w:sz w:val="20"/>
        </w:rPr>
        <w:t>2023</w:t>
      </w:r>
      <w:r w:rsidRPr="00B343CC">
        <w:rPr>
          <w:rFonts w:cs="Times New Roman"/>
          <w:snapToGrid w:val="0"/>
          <w:sz w:val="20"/>
        </w:rPr>
        <w:t>.  Ramallah - Palestine</w:t>
      </w:r>
      <w:r w:rsidRPr="00B343CC">
        <w:rPr>
          <w:rFonts w:cs="Times New Roman"/>
          <w:snapToGrid w:val="0"/>
          <w:sz w:val="20"/>
          <w:rtl/>
        </w:rPr>
        <w:t>.</w:t>
      </w:r>
    </w:p>
    <w:p w14:paraId="23697292" w14:textId="77777777" w:rsidR="00D95D88" w:rsidRPr="00B343CC" w:rsidRDefault="00D95D88" w:rsidP="00323AE5">
      <w:pPr>
        <w:bidi w:val="0"/>
        <w:ind w:left="66"/>
        <w:jc w:val="both"/>
        <w:rPr>
          <w:rFonts w:cs="Times New Roman"/>
          <w:sz w:val="12"/>
          <w:szCs w:val="12"/>
        </w:rPr>
      </w:pPr>
    </w:p>
    <w:p w14:paraId="1F5CFE24" w14:textId="77777777" w:rsidR="00D95D88" w:rsidRPr="00B343CC" w:rsidRDefault="00D95D88" w:rsidP="00323AE5">
      <w:pPr>
        <w:pStyle w:val="ListParagraph"/>
        <w:numPr>
          <w:ilvl w:val="0"/>
          <w:numId w:val="6"/>
        </w:numPr>
        <w:overflowPunct w:val="0"/>
        <w:autoSpaceDE w:val="0"/>
        <w:autoSpaceDN w:val="0"/>
        <w:bidi w:val="0"/>
        <w:adjustRightInd w:val="0"/>
        <w:ind w:right="0"/>
        <w:jc w:val="both"/>
        <w:rPr>
          <w:rFonts w:cs="Times New Roman"/>
          <w:snapToGrid w:val="0"/>
          <w:sz w:val="20"/>
        </w:rPr>
      </w:pPr>
      <w:r w:rsidRPr="00B343CC">
        <w:rPr>
          <w:rFonts w:cs="Times New Roman"/>
          <w:b/>
          <w:bCs/>
          <w:snapToGrid w:val="0"/>
          <w:sz w:val="20"/>
        </w:rPr>
        <w:t>Palestinian Central Bureau of Statistics, 2021.</w:t>
      </w:r>
      <w:r w:rsidRPr="00B343CC">
        <w:rPr>
          <w:rFonts w:cs="Times New Roman"/>
          <w:snapToGrid w:val="0"/>
          <w:sz w:val="20"/>
        </w:rPr>
        <w:t xml:space="preserve"> National Accounts at Current and Constant Prices 2020.  Ramallah - Palestine</w:t>
      </w:r>
      <w:r w:rsidRPr="00B343CC">
        <w:rPr>
          <w:rFonts w:cs="Times New Roman"/>
          <w:snapToGrid w:val="0"/>
          <w:sz w:val="20"/>
          <w:rtl/>
        </w:rPr>
        <w:t>.</w:t>
      </w:r>
    </w:p>
    <w:p w14:paraId="4D8E8045" w14:textId="77777777" w:rsidR="002F7B0E" w:rsidRPr="00B343CC" w:rsidRDefault="002F7B0E" w:rsidP="00323AE5">
      <w:pPr>
        <w:bidi w:val="0"/>
        <w:ind w:left="66"/>
        <w:jc w:val="both"/>
        <w:rPr>
          <w:rFonts w:cs="Times New Roman"/>
          <w:sz w:val="12"/>
          <w:szCs w:val="12"/>
        </w:rPr>
      </w:pPr>
    </w:p>
    <w:p w14:paraId="6EDBC50F" w14:textId="77777777" w:rsidR="002F7B0E" w:rsidRPr="00B343CC" w:rsidRDefault="002F7B0E" w:rsidP="00323AE5">
      <w:pPr>
        <w:pStyle w:val="ListParagraph"/>
        <w:numPr>
          <w:ilvl w:val="0"/>
          <w:numId w:val="6"/>
        </w:numPr>
        <w:overflowPunct w:val="0"/>
        <w:autoSpaceDE w:val="0"/>
        <w:autoSpaceDN w:val="0"/>
        <w:bidi w:val="0"/>
        <w:adjustRightInd w:val="0"/>
        <w:ind w:right="0"/>
        <w:jc w:val="both"/>
        <w:rPr>
          <w:rFonts w:cs="Times New Roman"/>
          <w:snapToGrid w:val="0"/>
          <w:sz w:val="20"/>
        </w:rPr>
      </w:pPr>
      <w:r w:rsidRPr="00B343CC">
        <w:rPr>
          <w:rFonts w:cs="Times New Roman"/>
          <w:b/>
          <w:bCs/>
          <w:snapToGrid w:val="0"/>
          <w:sz w:val="20"/>
        </w:rPr>
        <w:t>Palestinian Central Bureau of Statistics, 2020.</w:t>
      </w:r>
      <w:r w:rsidRPr="00B343CC">
        <w:rPr>
          <w:rFonts w:cs="Times New Roman"/>
          <w:snapToGrid w:val="0"/>
          <w:sz w:val="20"/>
        </w:rPr>
        <w:t xml:space="preserve"> Quarterly National Accounts Statistics (2018-2020). Ramallah - Palestine</w:t>
      </w:r>
      <w:r w:rsidRPr="00B343CC">
        <w:rPr>
          <w:rFonts w:cs="Times New Roman"/>
          <w:snapToGrid w:val="0"/>
          <w:sz w:val="20"/>
          <w:rtl/>
        </w:rPr>
        <w:t>.</w:t>
      </w:r>
    </w:p>
    <w:p w14:paraId="0023C32B" w14:textId="77777777" w:rsidR="00BB420D" w:rsidRPr="00B343CC" w:rsidRDefault="00BB420D" w:rsidP="00323AE5">
      <w:pPr>
        <w:bidi w:val="0"/>
        <w:ind w:left="66"/>
        <w:jc w:val="both"/>
        <w:rPr>
          <w:rFonts w:cs="Times New Roman"/>
          <w:sz w:val="12"/>
          <w:szCs w:val="12"/>
        </w:rPr>
      </w:pPr>
    </w:p>
    <w:p w14:paraId="7FFA8CC1" w14:textId="06C43C52" w:rsidR="00FC6303" w:rsidRPr="00B343CC" w:rsidRDefault="00FC6303" w:rsidP="00FC6303">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napToGrid w:val="0"/>
          <w:sz w:val="20"/>
        </w:rPr>
        <w:t>Palestinian Central Bureau of Statistics, 2025.</w:t>
      </w:r>
      <w:r w:rsidRPr="00B343CC">
        <w:rPr>
          <w:rFonts w:cs="Times New Roman"/>
          <w:snapToGrid w:val="0"/>
          <w:sz w:val="20"/>
        </w:rPr>
        <w:t xml:space="preserve"> Price and Price Indices: Annual Bulletin, 2024. Ramallah - Palestine.</w:t>
      </w:r>
    </w:p>
    <w:p w14:paraId="49F6C432" w14:textId="77777777" w:rsidR="00FC6303" w:rsidRPr="00B343CC" w:rsidRDefault="00FC6303" w:rsidP="00FC6303">
      <w:pPr>
        <w:bidi w:val="0"/>
        <w:ind w:left="66"/>
        <w:jc w:val="both"/>
        <w:rPr>
          <w:rFonts w:cs="Times New Roman"/>
          <w:sz w:val="12"/>
          <w:szCs w:val="12"/>
        </w:rPr>
      </w:pPr>
    </w:p>
    <w:p w14:paraId="1AD18437" w14:textId="77777777" w:rsidR="00FC6303" w:rsidRPr="00B343CC" w:rsidRDefault="00FC6303" w:rsidP="00FC6303">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napToGrid w:val="0"/>
          <w:sz w:val="20"/>
        </w:rPr>
        <w:t>Palestinian Central Bureau of Statistics, 2025.</w:t>
      </w:r>
      <w:r w:rsidRPr="00B343CC">
        <w:rPr>
          <w:rFonts w:cs="Times New Roman"/>
          <w:snapToGrid w:val="0"/>
          <w:sz w:val="20"/>
        </w:rPr>
        <w:t xml:space="preserve"> Transportation and Communication Statistics in Palestine: Annual Report 2024.  Ramallah - Palestine</w:t>
      </w:r>
      <w:r w:rsidRPr="00B343CC">
        <w:rPr>
          <w:rFonts w:cs="Times New Roman"/>
          <w:snapToGrid w:val="0"/>
          <w:sz w:val="20"/>
          <w:rtl/>
        </w:rPr>
        <w:t>.</w:t>
      </w:r>
    </w:p>
    <w:p w14:paraId="1341A0FE" w14:textId="77777777" w:rsidR="009C5546" w:rsidRPr="00B343CC" w:rsidRDefault="009C5546" w:rsidP="009C5546">
      <w:pPr>
        <w:bidi w:val="0"/>
        <w:ind w:left="66"/>
        <w:jc w:val="both"/>
        <w:rPr>
          <w:rFonts w:cs="Times New Roman"/>
          <w:sz w:val="12"/>
          <w:szCs w:val="12"/>
          <w:rtl/>
        </w:rPr>
      </w:pPr>
    </w:p>
    <w:p w14:paraId="57C9FAD3" w14:textId="77777777" w:rsidR="009C5546" w:rsidRPr="00B343CC" w:rsidRDefault="009C5546" w:rsidP="009C5546">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napToGrid w:val="0"/>
          <w:sz w:val="20"/>
        </w:rPr>
        <w:t xml:space="preserve">Palestinian Central Bureau of Statistics, 2020. </w:t>
      </w:r>
      <w:r w:rsidRPr="00B343CC">
        <w:rPr>
          <w:rFonts w:cs="Times New Roman"/>
          <w:snapToGrid w:val="0"/>
          <w:sz w:val="20"/>
        </w:rPr>
        <w:t>Transport Survey: Outside Establishments Sector 2019, Main Results. Ramallah - Palestine.</w:t>
      </w:r>
    </w:p>
    <w:p w14:paraId="7AA86696" w14:textId="77777777" w:rsidR="009C5546" w:rsidRPr="00B343CC" w:rsidRDefault="009C5546" w:rsidP="009C5546">
      <w:pPr>
        <w:bidi w:val="0"/>
        <w:ind w:left="66"/>
        <w:jc w:val="both"/>
        <w:rPr>
          <w:rFonts w:cs="Times New Roman"/>
          <w:sz w:val="12"/>
          <w:szCs w:val="12"/>
        </w:rPr>
      </w:pPr>
    </w:p>
    <w:p w14:paraId="297484F3" w14:textId="77777777" w:rsidR="009C5546" w:rsidRPr="00B343CC" w:rsidRDefault="009C5546" w:rsidP="009C5546">
      <w:pPr>
        <w:pStyle w:val="ListParagraph"/>
        <w:numPr>
          <w:ilvl w:val="0"/>
          <w:numId w:val="6"/>
        </w:numPr>
        <w:tabs>
          <w:tab w:val="num" w:pos="1492"/>
        </w:tabs>
        <w:overflowPunct w:val="0"/>
        <w:autoSpaceDE w:val="0"/>
        <w:autoSpaceDN w:val="0"/>
        <w:bidi w:val="0"/>
        <w:adjustRightInd w:val="0"/>
        <w:ind w:right="0"/>
        <w:jc w:val="lowKashida"/>
        <w:textAlignment w:val="baseline"/>
        <w:rPr>
          <w:rFonts w:cs="Times New Roman"/>
          <w:b/>
          <w:bCs/>
          <w:snapToGrid w:val="0"/>
          <w:sz w:val="20"/>
        </w:rPr>
      </w:pPr>
      <w:r w:rsidRPr="00B343CC">
        <w:rPr>
          <w:rFonts w:cs="Times New Roman"/>
          <w:b/>
          <w:bCs/>
          <w:snapToGrid w:val="0"/>
          <w:sz w:val="20"/>
        </w:rPr>
        <w:t>Palestinian Central Bureau of Statistics, 2024.</w:t>
      </w:r>
      <w:r w:rsidRPr="00B343CC">
        <w:rPr>
          <w:rFonts w:cs="Times New Roman"/>
          <w:snapToGrid w:val="0"/>
          <w:sz w:val="20"/>
        </w:rPr>
        <w:t xml:space="preserve"> Building Licenses Statistics (First Quarter 2018- Fourth Quarter 2023).  Ramallah - Palestine</w:t>
      </w:r>
      <w:r w:rsidRPr="00B343CC">
        <w:rPr>
          <w:rFonts w:cs="Times New Roman"/>
          <w:b/>
          <w:bCs/>
          <w:snapToGrid w:val="0"/>
          <w:sz w:val="20"/>
        </w:rPr>
        <w:t>.</w:t>
      </w:r>
    </w:p>
    <w:p w14:paraId="761D2CE0" w14:textId="77777777" w:rsidR="00B3467D" w:rsidRPr="00B343CC" w:rsidRDefault="00B3467D" w:rsidP="00323AE5">
      <w:pPr>
        <w:bidi w:val="0"/>
        <w:ind w:left="66"/>
        <w:jc w:val="both"/>
        <w:rPr>
          <w:rFonts w:cs="Times New Roman"/>
          <w:sz w:val="12"/>
          <w:szCs w:val="12"/>
        </w:rPr>
      </w:pPr>
    </w:p>
    <w:p w14:paraId="584F7BF8" w14:textId="77777777" w:rsidR="00B501BF" w:rsidRPr="00B343CC" w:rsidRDefault="00B501BF" w:rsidP="009D57D9">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snapToGrid w:val="0"/>
          <w:sz w:val="20"/>
        </w:rPr>
      </w:pPr>
      <w:r w:rsidRPr="00B343CC">
        <w:rPr>
          <w:rFonts w:cs="Times New Roman"/>
          <w:b/>
          <w:bCs/>
          <w:snapToGrid w:val="0"/>
          <w:sz w:val="20"/>
        </w:rPr>
        <w:t xml:space="preserve">Palestinian Central Bureau of Statistics, </w:t>
      </w:r>
      <w:r w:rsidR="009D57D9" w:rsidRPr="00B343CC">
        <w:rPr>
          <w:rFonts w:cs="Times New Roman"/>
          <w:b/>
          <w:bCs/>
          <w:snapToGrid w:val="0"/>
          <w:sz w:val="20"/>
        </w:rPr>
        <w:t>2024</w:t>
      </w:r>
      <w:r w:rsidRPr="00B343CC">
        <w:rPr>
          <w:rFonts w:cs="Times New Roman"/>
          <w:b/>
          <w:bCs/>
          <w:snapToGrid w:val="0"/>
          <w:sz w:val="20"/>
        </w:rPr>
        <w:t>.</w:t>
      </w:r>
      <w:r w:rsidRPr="00B343CC">
        <w:rPr>
          <w:rFonts w:cs="Times New Roman"/>
          <w:snapToGrid w:val="0"/>
          <w:sz w:val="20"/>
        </w:rPr>
        <w:t xml:space="preserve"> Hotel Activities in the West Bank, Annual Bulletin </w:t>
      </w:r>
      <w:r w:rsidR="009D57D9" w:rsidRPr="00B343CC">
        <w:rPr>
          <w:rFonts w:cs="Times New Roman"/>
          <w:snapToGrid w:val="0"/>
          <w:sz w:val="20"/>
        </w:rPr>
        <w:t>2023</w:t>
      </w:r>
      <w:r w:rsidRPr="00B343CC">
        <w:rPr>
          <w:rFonts w:cs="Times New Roman"/>
          <w:snapToGrid w:val="0"/>
          <w:sz w:val="20"/>
        </w:rPr>
        <w:t>. Ramallah - Palestine.</w:t>
      </w:r>
    </w:p>
    <w:p w14:paraId="7C53B6D3" w14:textId="77777777" w:rsidR="00E85C5C" w:rsidRPr="00B343CC" w:rsidRDefault="00E85C5C" w:rsidP="00323AE5">
      <w:pPr>
        <w:pStyle w:val="ListParagraph"/>
        <w:rPr>
          <w:rFonts w:cs="Times New Roman"/>
          <w:snapToGrid w:val="0"/>
          <w:sz w:val="12"/>
          <w:szCs w:val="12"/>
        </w:rPr>
      </w:pPr>
    </w:p>
    <w:p w14:paraId="22D7C39F" w14:textId="77777777" w:rsidR="00B12300" w:rsidRPr="00B12300" w:rsidRDefault="00B12300" w:rsidP="00B12300">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snapToGrid w:val="0"/>
          <w:sz w:val="20"/>
        </w:rPr>
      </w:pPr>
      <w:r w:rsidRPr="00B12300">
        <w:rPr>
          <w:rFonts w:cs="Times New Roman"/>
          <w:b/>
          <w:bCs/>
          <w:snapToGrid w:val="0"/>
          <w:sz w:val="20"/>
        </w:rPr>
        <w:t xml:space="preserve">Palestinian Central Bureau of Statistics, </w:t>
      </w:r>
      <w:r w:rsidRPr="00B12300">
        <w:rPr>
          <w:rFonts w:cs="Times New Roman" w:hint="cs"/>
          <w:b/>
          <w:bCs/>
          <w:snapToGrid w:val="0"/>
          <w:sz w:val="20"/>
          <w:rtl/>
        </w:rPr>
        <w:t>202</w:t>
      </w:r>
      <w:r w:rsidRPr="00B12300">
        <w:rPr>
          <w:rFonts w:cs="Times New Roman"/>
          <w:b/>
          <w:bCs/>
          <w:snapToGrid w:val="0"/>
          <w:sz w:val="20"/>
        </w:rPr>
        <w:t xml:space="preserve">5. </w:t>
      </w:r>
      <w:r w:rsidRPr="00B12300">
        <w:rPr>
          <w:rFonts w:cs="Times New Roman"/>
          <w:snapToGrid w:val="0"/>
          <w:sz w:val="20"/>
        </w:rPr>
        <w:t>Foreign Trade Statistics Database 2023-2024. Ramallah - Palestine.</w:t>
      </w:r>
    </w:p>
    <w:p w14:paraId="5044FFFD" w14:textId="77777777" w:rsidR="00E700E3" w:rsidRPr="00B343CC" w:rsidRDefault="00E700E3" w:rsidP="00323AE5">
      <w:pPr>
        <w:bidi w:val="0"/>
        <w:ind w:left="66"/>
        <w:jc w:val="both"/>
        <w:rPr>
          <w:rFonts w:cs="Times New Roman"/>
          <w:sz w:val="12"/>
          <w:szCs w:val="12"/>
        </w:rPr>
      </w:pPr>
    </w:p>
    <w:p w14:paraId="021D7C8F" w14:textId="77777777" w:rsidR="001C48E1" w:rsidRPr="00B343CC" w:rsidRDefault="001C48E1" w:rsidP="00323AE5">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b/>
          <w:bCs/>
          <w:snapToGrid w:val="0"/>
          <w:sz w:val="20"/>
        </w:rPr>
      </w:pPr>
      <w:r w:rsidRPr="00B343CC">
        <w:rPr>
          <w:rFonts w:cs="Times New Roman"/>
          <w:b/>
          <w:bCs/>
          <w:snapToGrid w:val="0"/>
          <w:sz w:val="20"/>
        </w:rPr>
        <w:t>Palestinian Central Bureau of Statistics, 2023.</w:t>
      </w:r>
      <w:r w:rsidRPr="00B343CC">
        <w:rPr>
          <w:rFonts w:cs="Times New Roman"/>
          <w:snapToGrid w:val="0"/>
          <w:sz w:val="20"/>
        </w:rPr>
        <w:t xml:space="preserve"> Economic Survey Series 2018- 2019: Main Results.  Ramallah - Palestine.</w:t>
      </w:r>
    </w:p>
    <w:p w14:paraId="40401FCA" w14:textId="77777777" w:rsidR="001C48E1" w:rsidRPr="00B343CC" w:rsidRDefault="001C48E1" w:rsidP="00323AE5">
      <w:pPr>
        <w:bidi w:val="0"/>
        <w:ind w:left="66"/>
        <w:jc w:val="both"/>
        <w:rPr>
          <w:rFonts w:cs="Times New Roman"/>
          <w:sz w:val="12"/>
          <w:szCs w:val="12"/>
        </w:rPr>
      </w:pPr>
    </w:p>
    <w:p w14:paraId="771057CE" w14:textId="4B7F2202" w:rsidR="001C48E1" w:rsidRPr="00B343CC" w:rsidRDefault="00213828" w:rsidP="00323AE5">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b/>
          <w:bCs/>
          <w:snapToGrid w:val="0"/>
          <w:sz w:val="20"/>
        </w:rPr>
      </w:pPr>
      <w:r w:rsidRPr="00B343CC">
        <w:rPr>
          <w:rFonts w:cs="Times New Roman"/>
          <w:b/>
          <w:bCs/>
          <w:snapToGrid w:val="0"/>
          <w:sz w:val="20"/>
        </w:rPr>
        <w:t xml:space="preserve">Palestinian Central Bureau of Statistics, 2025. </w:t>
      </w:r>
      <w:r w:rsidRPr="00B343CC">
        <w:rPr>
          <w:rFonts w:cs="Times New Roman"/>
          <w:snapToGrid w:val="0"/>
          <w:sz w:val="20"/>
        </w:rPr>
        <w:t>Business Statistics Survey 2020-2024:Press release. Ramallah – Palestine</w:t>
      </w:r>
      <w:r w:rsidRPr="00B343CC">
        <w:rPr>
          <w:rFonts w:cs="Times New Roman"/>
          <w:b/>
          <w:bCs/>
          <w:snapToGrid w:val="0"/>
          <w:sz w:val="20"/>
        </w:rPr>
        <w:t>.</w:t>
      </w:r>
    </w:p>
    <w:p w14:paraId="49057F5C" w14:textId="77777777" w:rsidR="003D3FDF" w:rsidRPr="00B343CC" w:rsidRDefault="003D3FDF" w:rsidP="00323AE5">
      <w:pPr>
        <w:pStyle w:val="ListParagraph"/>
        <w:tabs>
          <w:tab w:val="num" w:pos="672"/>
          <w:tab w:val="num" w:pos="700"/>
        </w:tabs>
        <w:bidi w:val="0"/>
        <w:ind w:left="686" w:hanging="280"/>
        <w:rPr>
          <w:rFonts w:cs="Times New Roman"/>
          <w:b/>
          <w:bCs/>
          <w:snapToGrid w:val="0"/>
          <w:sz w:val="12"/>
          <w:szCs w:val="12"/>
        </w:rPr>
      </w:pPr>
    </w:p>
    <w:p w14:paraId="72F3BA45" w14:textId="77777777" w:rsidR="00B538CA" w:rsidRPr="00B343CC" w:rsidRDefault="00B236CB" w:rsidP="00323AE5">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snapToGrid w:val="0"/>
          <w:sz w:val="20"/>
        </w:rPr>
      </w:pPr>
      <w:r w:rsidRPr="00B343CC">
        <w:rPr>
          <w:rFonts w:cs="Times New Roman"/>
          <w:b/>
          <w:bCs/>
          <w:snapToGrid w:val="0"/>
          <w:sz w:val="20"/>
        </w:rPr>
        <w:t xml:space="preserve">Palestinian Central Bureau of Statistics, Palestine Monetary Authority, 2021.  </w:t>
      </w:r>
      <w:r w:rsidRPr="00B343CC">
        <w:rPr>
          <w:rFonts w:cs="Times New Roman"/>
          <w:snapToGrid w:val="0"/>
          <w:sz w:val="20"/>
        </w:rPr>
        <w:t>Annual Balance of Payments, 2020 Preliminary Results.  Ramallah – Palestine</w:t>
      </w:r>
      <w:r w:rsidR="006A50E5" w:rsidRPr="00B343CC">
        <w:rPr>
          <w:rFonts w:cs="Times New Roman"/>
          <w:snapToGrid w:val="0"/>
          <w:sz w:val="20"/>
        </w:rPr>
        <w:t>.</w:t>
      </w:r>
    </w:p>
    <w:p w14:paraId="0B3DDEB5" w14:textId="77777777" w:rsidR="006A50E5" w:rsidRPr="00B343CC" w:rsidRDefault="006A50E5" w:rsidP="00323AE5">
      <w:pPr>
        <w:bidi w:val="0"/>
        <w:ind w:left="66"/>
        <w:jc w:val="both"/>
        <w:rPr>
          <w:rFonts w:cs="Times New Roman"/>
          <w:sz w:val="12"/>
          <w:szCs w:val="12"/>
        </w:rPr>
      </w:pPr>
    </w:p>
    <w:p w14:paraId="628D389B" w14:textId="77777777" w:rsidR="00FC6303" w:rsidRPr="00B343CC" w:rsidRDefault="00FC6303" w:rsidP="00FC6303">
      <w:pPr>
        <w:pStyle w:val="ListParagraph"/>
        <w:numPr>
          <w:ilvl w:val="0"/>
          <w:numId w:val="6"/>
        </w:numPr>
        <w:overflowPunct w:val="0"/>
        <w:autoSpaceDE w:val="0"/>
        <w:autoSpaceDN w:val="0"/>
        <w:bidi w:val="0"/>
        <w:adjustRightInd w:val="0"/>
        <w:ind w:right="0"/>
        <w:jc w:val="both"/>
        <w:textAlignment w:val="baseline"/>
        <w:rPr>
          <w:rFonts w:cs="Times New Roman"/>
          <w:sz w:val="20"/>
        </w:rPr>
      </w:pPr>
      <w:r w:rsidRPr="00B343CC">
        <w:rPr>
          <w:rFonts w:cs="Times New Roman"/>
          <w:b/>
          <w:bCs/>
          <w:snapToGrid w:val="0"/>
          <w:sz w:val="20"/>
        </w:rPr>
        <w:t>Palestinian Central Bureau of Statistics, 2024</w:t>
      </w:r>
      <w:r w:rsidRPr="00B343CC">
        <w:rPr>
          <w:rFonts w:cs="Times New Roman"/>
          <w:snapToGrid w:val="0"/>
          <w:sz w:val="20"/>
        </w:rPr>
        <w:t>. International Investment Position and External Debt Statistics, 2024. Press Release.  Ramallah - Palestine</w:t>
      </w:r>
      <w:r w:rsidRPr="00B343CC">
        <w:rPr>
          <w:rFonts w:cs="Times New Roman"/>
          <w:sz w:val="20"/>
        </w:rPr>
        <w:t>.</w:t>
      </w:r>
    </w:p>
    <w:p w14:paraId="05611236" w14:textId="77777777" w:rsidR="00497E9E" w:rsidRPr="00B343CC" w:rsidRDefault="00497E9E" w:rsidP="00323AE5">
      <w:pPr>
        <w:bidi w:val="0"/>
        <w:ind w:left="66"/>
        <w:jc w:val="both"/>
        <w:rPr>
          <w:rFonts w:cs="Times New Roman"/>
          <w:sz w:val="12"/>
          <w:szCs w:val="12"/>
        </w:rPr>
      </w:pPr>
    </w:p>
    <w:p w14:paraId="78045923" w14:textId="77777777" w:rsidR="00497E9E" w:rsidRPr="00B343CC" w:rsidRDefault="00497E9E"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b/>
          <w:bCs/>
          <w:snapToGrid w:val="0"/>
          <w:sz w:val="20"/>
        </w:rPr>
      </w:pPr>
      <w:r w:rsidRPr="00B343CC">
        <w:rPr>
          <w:rFonts w:cs="Times New Roman"/>
          <w:b/>
          <w:bCs/>
          <w:snapToGrid w:val="0"/>
          <w:sz w:val="20"/>
        </w:rPr>
        <w:t xml:space="preserve">Palestinian Central Bureau of Statistics, </w:t>
      </w:r>
      <w:r w:rsidRPr="00B343CC">
        <w:rPr>
          <w:rFonts w:cs="Times New Roman" w:hint="cs"/>
          <w:b/>
          <w:bCs/>
          <w:snapToGrid w:val="0"/>
          <w:sz w:val="20"/>
          <w:rtl/>
        </w:rPr>
        <w:t>2021</w:t>
      </w:r>
      <w:r w:rsidRPr="00B343CC">
        <w:rPr>
          <w:rFonts w:cs="Times New Roman"/>
          <w:b/>
          <w:bCs/>
          <w:snapToGrid w:val="0"/>
          <w:sz w:val="20"/>
        </w:rPr>
        <w:t>.</w:t>
      </w:r>
      <w:r w:rsidRPr="00B343CC">
        <w:rPr>
          <w:rFonts w:cs="Times New Roman"/>
          <w:snapToGrid w:val="0"/>
          <w:sz w:val="20"/>
        </w:rPr>
        <w:t xml:space="preserve"> Tourism Satellite Accounts Series, (2009-2018).  Ramallah - Palestine.</w:t>
      </w:r>
    </w:p>
    <w:p w14:paraId="59DC8468" w14:textId="77777777" w:rsidR="00930DB4" w:rsidRPr="00B343CC" w:rsidRDefault="00930DB4" w:rsidP="00323AE5">
      <w:pPr>
        <w:bidi w:val="0"/>
        <w:ind w:left="66"/>
        <w:jc w:val="both"/>
        <w:rPr>
          <w:rFonts w:cs="Times New Roman"/>
          <w:sz w:val="12"/>
          <w:szCs w:val="12"/>
        </w:rPr>
      </w:pPr>
    </w:p>
    <w:p w14:paraId="7BD06ACF" w14:textId="77777777" w:rsidR="00930DB4" w:rsidRPr="00B343CC" w:rsidRDefault="00930DB4"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b/>
          <w:bCs/>
          <w:snapToGrid w:val="0"/>
          <w:sz w:val="20"/>
        </w:rPr>
      </w:pPr>
      <w:r w:rsidRPr="00B343CC">
        <w:rPr>
          <w:rFonts w:cs="Times New Roman"/>
          <w:b/>
          <w:bCs/>
          <w:snapToGrid w:val="0"/>
          <w:sz w:val="20"/>
        </w:rPr>
        <w:t xml:space="preserve">Palestinian Central Bureau of Statistics, </w:t>
      </w:r>
      <w:r w:rsidRPr="00B343CC">
        <w:rPr>
          <w:rFonts w:cs="Times New Roman" w:hint="cs"/>
          <w:b/>
          <w:bCs/>
          <w:snapToGrid w:val="0"/>
          <w:sz w:val="20"/>
          <w:rtl/>
        </w:rPr>
        <w:t>2021</w:t>
      </w:r>
      <w:r w:rsidRPr="00B343CC">
        <w:rPr>
          <w:rFonts w:cs="Times New Roman"/>
          <w:b/>
          <w:bCs/>
          <w:snapToGrid w:val="0"/>
          <w:sz w:val="20"/>
        </w:rPr>
        <w:t>. Ministry of Health</w:t>
      </w:r>
      <w:r w:rsidRPr="00B343CC">
        <w:rPr>
          <w:rFonts w:cs="Times New Roman"/>
          <w:snapToGrid w:val="0"/>
          <w:sz w:val="20"/>
        </w:rPr>
        <w:t xml:space="preserve"> Palestinian Health Accounts, </w:t>
      </w:r>
      <w:r w:rsidR="00462684" w:rsidRPr="00B343CC">
        <w:rPr>
          <w:rFonts w:cs="Times New Roman" w:hint="cs"/>
          <w:snapToGrid w:val="0"/>
          <w:sz w:val="20"/>
          <w:rtl/>
        </w:rPr>
        <w:t>2019</w:t>
      </w:r>
      <w:r w:rsidRPr="00B343CC">
        <w:rPr>
          <w:rFonts w:cs="Times New Roman"/>
          <w:snapToGrid w:val="0"/>
          <w:sz w:val="20"/>
        </w:rPr>
        <w:t>.  Ramallah - Palestine.</w:t>
      </w:r>
    </w:p>
    <w:p w14:paraId="059E9006" w14:textId="77777777" w:rsidR="00930DB4" w:rsidRPr="00B343CC" w:rsidRDefault="00930DB4" w:rsidP="00323AE5">
      <w:pPr>
        <w:pStyle w:val="ListParagraph"/>
        <w:bidi w:val="0"/>
        <w:rPr>
          <w:rFonts w:cs="Times New Roman"/>
          <w:b/>
          <w:bCs/>
          <w:snapToGrid w:val="0"/>
          <w:sz w:val="20"/>
        </w:rPr>
      </w:pPr>
    </w:p>
    <w:p w14:paraId="2F07DD5E" w14:textId="69854DBF" w:rsidR="00751C22" w:rsidRPr="00B343CC" w:rsidRDefault="0030373A" w:rsidP="00C07179">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B343CC">
        <w:rPr>
          <w:b/>
          <w:bCs/>
          <w:snapToGrid w:val="0"/>
          <w:sz w:val="20"/>
        </w:rPr>
        <w:t xml:space="preserve">Palestinian Central Bureau of Statistics, 2025. </w:t>
      </w:r>
      <w:r w:rsidRPr="00B343CC">
        <w:rPr>
          <w:snapToGrid w:val="0"/>
          <w:sz w:val="20"/>
        </w:rPr>
        <w:t>Database of Information and Communications Technology Statistics, 2023. Ramallah - Palestine.</w:t>
      </w:r>
    </w:p>
    <w:p w14:paraId="5BC438E9" w14:textId="77777777" w:rsidR="00751C22" w:rsidRPr="00B343CC" w:rsidRDefault="00751C22" w:rsidP="00323AE5">
      <w:pPr>
        <w:bidi w:val="0"/>
        <w:ind w:left="66"/>
        <w:jc w:val="both"/>
        <w:rPr>
          <w:rFonts w:cs="Times New Roman"/>
          <w:sz w:val="12"/>
          <w:szCs w:val="12"/>
        </w:rPr>
      </w:pPr>
    </w:p>
    <w:p w14:paraId="11C833B7" w14:textId="7FAA7E47" w:rsidR="00751C22" w:rsidRPr="00B343CC" w:rsidRDefault="00751C22" w:rsidP="00BA4944">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B343CC">
        <w:rPr>
          <w:rFonts w:cs="Times New Roman"/>
          <w:b/>
          <w:bCs/>
          <w:snapToGrid w:val="0"/>
          <w:sz w:val="20"/>
        </w:rPr>
        <w:t xml:space="preserve">Palestinian Central Bureau of Statistics, 2021. </w:t>
      </w:r>
      <w:r w:rsidR="00BA4944" w:rsidRPr="00B343CC">
        <w:rPr>
          <w:rFonts w:cs="Times New Roman"/>
          <w:snapToGrid w:val="0"/>
          <w:sz w:val="20"/>
        </w:rPr>
        <w:t>Multi</w:t>
      </w:r>
      <w:r w:rsidRPr="00B343CC">
        <w:rPr>
          <w:rFonts w:cs="Times New Roman"/>
          <w:snapToGrid w:val="0"/>
          <w:sz w:val="20"/>
        </w:rPr>
        <w:t>-indicators cluster survey, 2019-2020.  Ramallah - Palestine.</w:t>
      </w:r>
    </w:p>
    <w:p w14:paraId="4874AAA1" w14:textId="77777777" w:rsidR="00E6264F" w:rsidRPr="00B343CC" w:rsidRDefault="00E6264F" w:rsidP="00323AE5">
      <w:pPr>
        <w:bidi w:val="0"/>
        <w:ind w:left="66"/>
        <w:jc w:val="both"/>
        <w:rPr>
          <w:rFonts w:cs="Times New Roman"/>
          <w:sz w:val="12"/>
          <w:szCs w:val="12"/>
        </w:rPr>
      </w:pPr>
    </w:p>
    <w:p w14:paraId="3EC2B057" w14:textId="4D33202A" w:rsidR="00E6264F" w:rsidRPr="00B343CC" w:rsidRDefault="00E6264F"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B343CC">
        <w:rPr>
          <w:rFonts w:cs="Times New Roman"/>
          <w:b/>
          <w:bCs/>
          <w:snapToGrid w:val="0"/>
          <w:sz w:val="20"/>
        </w:rPr>
        <w:t xml:space="preserve">Palestinian Central Bureau of Statistics, </w:t>
      </w:r>
      <w:r w:rsidRPr="00B343CC">
        <w:rPr>
          <w:rFonts w:cs="Times New Roman" w:hint="cs"/>
          <w:b/>
          <w:bCs/>
          <w:snapToGrid w:val="0"/>
          <w:sz w:val="20"/>
          <w:rtl/>
        </w:rPr>
        <w:t>2022</w:t>
      </w:r>
      <w:r w:rsidRPr="00B343CC">
        <w:rPr>
          <w:rFonts w:cs="Times New Roman"/>
          <w:b/>
          <w:bCs/>
          <w:snapToGrid w:val="0"/>
          <w:sz w:val="20"/>
        </w:rPr>
        <w:t>.</w:t>
      </w:r>
      <w:r w:rsidRPr="00B343CC">
        <w:rPr>
          <w:rFonts w:cs="Times New Roman"/>
          <w:snapToGrid w:val="0"/>
          <w:sz w:val="20"/>
        </w:rPr>
        <w:t xml:space="preserve"> Land Use Statistics in the Palestinian Territory, 2021. Ramallah - Palestine</w:t>
      </w:r>
      <w:r w:rsidRPr="00B343CC">
        <w:rPr>
          <w:rFonts w:cs="Times New Roman"/>
          <w:snapToGrid w:val="0"/>
          <w:sz w:val="20"/>
          <w:rtl/>
        </w:rPr>
        <w:t>.</w:t>
      </w:r>
    </w:p>
    <w:p w14:paraId="4DF3C8E1" w14:textId="77777777" w:rsidR="000C2B40" w:rsidRPr="00B343CC" w:rsidRDefault="000C2B40" w:rsidP="00323AE5">
      <w:pPr>
        <w:bidi w:val="0"/>
        <w:ind w:left="66"/>
        <w:jc w:val="both"/>
        <w:rPr>
          <w:rFonts w:cs="Times New Roman"/>
          <w:sz w:val="12"/>
          <w:szCs w:val="12"/>
        </w:rPr>
      </w:pPr>
    </w:p>
    <w:p w14:paraId="490B5947" w14:textId="77777777" w:rsidR="00F5242F" w:rsidRPr="00B343CC" w:rsidRDefault="00F5242F" w:rsidP="00F5242F">
      <w:pPr>
        <w:numPr>
          <w:ilvl w:val="0"/>
          <w:numId w:val="6"/>
        </w:numPr>
        <w:bidi w:val="0"/>
        <w:ind w:right="0"/>
        <w:jc w:val="both"/>
        <w:rPr>
          <w:rFonts w:cs="Times New Roman"/>
          <w:snapToGrid w:val="0"/>
        </w:rPr>
      </w:pPr>
      <w:r w:rsidRPr="00B343CC">
        <w:rPr>
          <w:rFonts w:cs="Times New Roman"/>
          <w:b/>
          <w:bCs/>
          <w:snapToGrid w:val="0"/>
        </w:rPr>
        <w:t xml:space="preserve">Palestinian Central Bureau of Statistics, 2025.  </w:t>
      </w:r>
      <w:r w:rsidRPr="00B343CC">
        <w:rPr>
          <w:rFonts w:cs="Times New Roman"/>
          <w:snapToGrid w:val="0"/>
        </w:rPr>
        <w:t>Housing and Housing  Condition Statistics Tables, 2024. Ramallah - Palestine.</w:t>
      </w:r>
    </w:p>
    <w:p w14:paraId="4CA668CC" w14:textId="77777777" w:rsidR="00AB24B7" w:rsidRPr="00B343CC" w:rsidRDefault="00AB24B7" w:rsidP="00323AE5">
      <w:pPr>
        <w:bidi w:val="0"/>
        <w:ind w:left="66"/>
        <w:jc w:val="both"/>
        <w:rPr>
          <w:rFonts w:cs="Times New Roman"/>
          <w:sz w:val="12"/>
          <w:szCs w:val="12"/>
        </w:rPr>
      </w:pPr>
    </w:p>
    <w:p w14:paraId="270F403D" w14:textId="77777777" w:rsidR="00C01CB5" w:rsidRPr="00B343CC" w:rsidRDefault="00C01CB5"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B343CC">
        <w:rPr>
          <w:rFonts w:cs="Times New Roman"/>
          <w:b/>
          <w:bCs/>
          <w:snapToGrid w:val="0"/>
          <w:sz w:val="20"/>
        </w:rPr>
        <w:t xml:space="preserve">Palestinian Central Bureau of Statistics, 2022. </w:t>
      </w:r>
      <w:r w:rsidRPr="00B343CC">
        <w:rPr>
          <w:rFonts w:cs="Times New Roman"/>
          <w:snapToGrid w:val="0"/>
          <w:sz w:val="20"/>
        </w:rPr>
        <w:t>Administrative Records Database for Women and Men, 2020-2021. Ramallah – Palestine.</w:t>
      </w:r>
    </w:p>
    <w:p w14:paraId="0F202DBE" w14:textId="77777777" w:rsidR="00F53E19" w:rsidRPr="00B343CC" w:rsidRDefault="00F53E19" w:rsidP="00323AE5">
      <w:pPr>
        <w:bidi w:val="0"/>
        <w:ind w:left="66"/>
        <w:jc w:val="both"/>
        <w:rPr>
          <w:rFonts w:cs="Times New Roman"/>
          <w:sz w:val="12"/>
          <w:szCs w:val="12"/>
        </w:rPr>
      </w:pPr>
    </w:p>
    <w:p w14:paraId="608793BC" w14:textId="000F5CA3" w:rsidR="00F53E19" w:rsidRPr="00B343CC" w:rsidRDefault="00F53E19"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B343CC">
        <w:rPr>
          <w:rFonts w:cs="Times New Roman"/>
          <w:b/>
          <w:bCs/>
          <w:snapToGrid w:val="0"/>
          <w:sz w:val="20"/>
        </w:rPr>
        <w:t xml:space="preserve">Palestinian Central Bureau of Statistics, 2022. </w:t>
      </w:r>
      <w:r w:rsidRPr="00B343CC">
        <w:rPr>
          <w:rFonts w:cs="Times New Roman"/>
          <w:snapToGrid w:val="0"/>
          <w:sz w:val="20"/>
        </w:rPr>
        <w:t>Violence Survey in the Palestinian Society, 2019 - Main Findings.  Ramallah - Palestine.</w:t>
      </w:r>
    </w:p>
    <w:p w14:paraId="4C3B7899" w14:textId="77777777" w:rsidR="00F53E19" w:rsidRPr="00B343CC" w:rsidRDefault="00F53E19" w:rsidP="00323AE5">
      <w:pPr>
        <w:bidi w:val="0"/>
        <w:ind w:left="66"/>
        <w:jc w:val="both"/>
        <w:rPr>
          <w:rFonts w:cs="Times New Roman"/>
          <w:sz w:val="12"/>
          <w:szCs w:val="12"/>
        </w:rPr>
      </w:pPr>
    </w:p>
    <w:p w14:paraId="1B64E031" w14:textId="77777777" w:rsidR="000F0816" w:rsidRPr="00B343CC" w:rsidRDefault="000F0816" w:rsidP="000F0816">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B343CC">
        <w:rPr>
          <w:rFonts w:cs="Times New Roman"/>
          <w:b/>
          <w:bCs/>
          <w:snapToGrid w:val="0"/>
          <w:sz w:val="20"/>
        </w:rPr>
        <w:t xml:space="preserve">Palestinian Central Bureau of Statistics, 2025. </w:t>
      </w:r>
      <w:r w:rsidRPr="00B343CC">
        <w:rPr>
          <w:rFonts w:cs="Traditional Arabic"/>
          <w:sz w:val="20"/>
        </w:rPr>
        <w:t xml:space="preserve"> </w:t>
      </w:r>
      <w:r w:rsidRPr="00B343CC">
        <w:rPr>
          <w:rFonts w:cs="Times New Roman"/>
          <w:snapToGrid w:val="0"/>
          <w:sz w:val="20"/>
        </w:rPr>
        <w:t>Palestinian Child Rights Reality Report, 20</w:t>
      </w:r>
      <w:r w:rsidRPr="00B343CC">
        <w:rPr>
          <w:rFonts w:cs="Times New Roman" w:hint="cs"/>
          <w:snapToGrid w:val="0"/>
          <w:sz w:val="20"/>
          <w:rtl/>
        </w:rPr>
        <w:t>2</w:t>
      </w:r>
      <w:r w:rsidRPr="00B343CC">
        <w:rPr>
          <w:rFonts w:cs="Times New Roman"/>
          <w:snapToGrid w:val="0"/>
          <w:sz w:val="20"/>
        </w:rPr>
        <w:t>5.  Ramallah – Palestine.</w:t>
      </w:r>
    </w:p>
    <w:p w14:paraId="39C234BB" w14:textId="7269956D" w:rsidR="00EF4DEE" w:rsidRPr="00B343CC" w:rsidRDefault="00EF4DEE" w:rsidP="0030373A">
      <w:pPr>
        <w:bidi w:val="0"/>
        <w:jc w:val="both"/>
        <w:rPr>
          <w:rFonts w:cs="Times New Roman"/>
          <w:sz w:val="12"/>
          <w:szCs w:val="12"/>
        </w:rPr>
      </w:pPr>
    </w:p>
    <w:p w14:paraId="6A6DAF17" w14:textId="77777777" w:rsidR="00EF4DEE" w:rsidRPr="00B343CC" w:rsidRDefault="00EF4DEE"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B343CC">
        <w:rPr>
          <w:rFonts w:cs="Times New Roman"/>
          <w:b/>
          <w:bCs/>
          <w:snapToGrid w:val="0"/>
          <w:sz w:val="20"/>
        </w:rPr>
        <w:t xml:space="preserve">Palestinian Central Bureau of Statistics, 2020. </w:t>
      </w:r>
      <w:r w:rsidRPr="00B343CC">
        <w:rPr>
          <w:rFonts w:cs="Times New Roman"/>
          <w:snapToGrid w:val="0"/>
          <w:sz w:val="20"/>
        </w:rPr>
        <w:t>Multidimensional Poverty Report, 2017. Main Results. Ramallah - Palestine.</w:t>
      </w:r>
    </w:p>
    <w:p w14:paraId="0CE2F84D" w14:textId="77777777" w:rsidR="00984848" w:rsidRPr="00B343CC" w:rsidRDefault="00984848" w:rsidP="00323AE5">
      <w:pPr>
        <w:bidi w:val="0"/>
        <w:ind w:left="66"/>
        <w:jc w:val="both"/>
        <w:rPr>
          <w:rFonts w:cs="Times New Roman"/>
          <w:sz w:val="12"/>
          <w:szCs w:val="12"/>
        </w:rPr>
      </w:pPr>
    </w:p>
    <w:p w14:paraId="7A5C4782" w14:textId="6D74DD5B" w:rsidR="00F82717" w:rsidRPr="00B343CC" w:rsidRDefault="00F82717"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B343CC">
        <w:rPr>
          <w:rFonts w:cs="Times New Roman"/>
          <w:b/>
          <w:bCs/>
          <w:snapToGrid w:val="0"/>
          <w:sz w:val="20"/>
        </w:rPr>
        <w:t xml:space="preserve">Palestinian Central Bureau of Statistics, </w:t>
      </w:r>
      <w:r w:rsidRPr="00B343CC">
        <w:rPr>
          <w:rFonts w:cs="Times New Roman"/>
          <w:b/>
          <w:bCs/>
          <w:snapToGrid w:val="0"/>
          <w:sz w:val="20"/>
          <w:rtl/>
        </w:rPr>
        <w:t>201</w:t>
      </w:r>
      <w:r w:rsidRPr="00B343CC">
        <w:rPr>
          <w:rFonts w:cs="Times New Roman"/>
          <w:b/>
          <w:bCs/>
          <w:snapToGrid w:val="0"/>
          <w:sz w:val="20"/>
        </w:rPr>
        <w:t xml:space="preserve">8. </w:t>
      </w:r>
      <w:r w:rsidRPr="00B343CC">
        <w:rPr>
          <w:rFonts w:cs="Times New Roman"/>
          <w:snapToGrid w:val="0"/>
          <w:sz w:val="20"/>
        </w:rPr>
        <w:t xml:space="preserve">Levels of Living in Palestine: Expenditure, Consumption and Poverty, 2017. Ramallah – Palestine.  </w:t>
      </w:r>
    </w:p>
    <w:p w14:paraId="41304681" w14:textId="77777777" w:rsidR="0042599D" w:rsidRPr="00B343CC" w:rsidRDefault="0042599D" w:rsidP="00323AE5">
      <w:pPr>
        <w:bidi w:val="0"/>
        <w:ind w:left="66"/>
        <w:jc w:val="both"/>
        <w:rPr>
          <w:rFonts w:cs="Times New Roman"/>
          <w:sz w:val="12"/>
          <w:szCs w:val="12"/>
        </w:rPr>
      </w:pPr>
    </w:p>
    <w:p w14:paraId="1C36494F" w14:textId="77777777" w:rsidR="000F0816" w:rsidRPr="00B343CC" w:rsidRDefault="000F0816" w:rsidP="000F0816">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B343CC">
        <w:rPr>
          <w:rFonts w:cs="Times New Roman"/>
          <w:b/>
          <w:bCs/>
          <w:snapToGrid w:val="0"/>
          <w:sz w:val="20"/>
        </w:rPr>
        <w:t>Palestinian Central Bureau of Statistics, 2025.</w:t>
      </w:r>
      <w:r w:rsidRPr="00B343CC">
        <w:rPr>
          <w:sz w:val="20"/>
        </w:rPr>
        <w:t xml:space="preserve"> </w:t>
      </w:r>
      <w:r w:rsidRPr="00B343CC">
        <w:rPr>
          <w:rFonts w:cs="Times New Roman"/>
          <w:snapToGrid w:val="0"/>
          <w:sz w:val="20"/>
        </w:rPr>
        <w:t>Women and Men in Palestine: Issues and Statistics, 2025. Ramallah - Palestine.</w:t>
      </w:r>
    </w:p>
    <w:p w14:paraId="49137922" w14:textId="77777777" w:rsidR="00984848" w:rsidRPr="00B343CC" w:rsidRDefault="00984848" w:rsidP="00323AE5">
      <w:pPr>
        <w:bidi w:val="0"/>
        <w:ind w:left="66"/>
        <w:jc w:val="both"/>
        <w:rPr>
          <w:rFonts w:cs="Times New Roman"/>
          <w:sz w:val="12"/>
          <w:szCs w:val="12"/>
        </w:rPr>
      </w:pPr>
    </w:p>
    <w:p w14:paraId="0B1ADC1B" w14:textId="2A6317F0" w:rsidR="00BF41A3" w:rsidRPr="00B343CC" w:rsidRDefault="00BF41A3" w:rsidP="00323AE5">
      <w:pPr>
        <w:numPr>
          <w:ilvl w:val="0"/>
          <w:numId w:val="6"/>
        </w:numPr>
        <w:overflowPunct w:val="0"/>
        <w:autoSpaceDE w:val="0"/>
        <w:autoSpaceDN w:val="0"/>
        <w:bidi w:val="0"/>
        <w:adjustRightInd w:val="0"/>
        <w:ind w:right="0"/>
        <w:jc w:val="lowKashida"/>
        <w:textAlignment w:val="baseline"/>
        <w:rPr>
          <w:rFonts w:cs="Times New Roman"/>
          <w:b/>
          <w:bCs/>
          <w:snapToGrid w:val="0"/>
        </w:rPr>
      </w:pPr>
      <w:r w:rsidRPr="00B343CC">
        <w:rPr>
          <w:rFonts w:cs="Times New Roman"/>
          <w:b/>
          <w:bCs/>
          <w:snapToGrid w:val="0"/>
        </w:rPr>
        <w:t xml:space="preserve">The Galilee Society, Arab National Society for Health Research &amp; Services, </w:t>
      </w:r>
      <w:r w:rsidR="00315252" w:rsidRPr="00B343CC">
        <w:rPr>
          <w:rFonts w:cs="Times New Roman"/>
          <w:b/>
          <w:bCs/>
          <w:snapToGrid w:val="0"/>
        </w:rPr>
        <w:t>2022</w:t>
      </w:r>
      <w:r w:rsidRPr="00B343CC">
        <w:rPr>
          <w:rFonts w:cs="Times New Roman"/>
          <w:b/>
          <w:bCs/>
          <w:snapToGrid w:val="0"/>
        </w:rPr>
        <w:t xml:space="preserve">, Rikaz. </w:t>
      </w:r>
      <w:r w:rsidRPr="00B343CC">
        <w:rPr>
          <w:rFonts w:cs="Times New Roman"/>
          <w:snapToGrid w:val="0"/>
        </w:rPr>
        <w:t>Databank on the Palestinian Community in Israel.</w:t>
      </w:r>
      <w:r w:rsidRPr="00B343CC">
        <w:rPr>
          <w:rFonts w:cs="Times New Roman"/>
          <w:b/>
          <w:bCs/>
          <w:snapToGrid w:val="0"/>
        </w:rPr>
        <w:t xml:space="preserve"> </w:t>
      </w:r>
      <w:r w:rsidRPr="00B343CC">
        <w:rPr>
          <w:rFonts w:cs="Times New Roman"/>
          <w:i/>
          <w:iCs/>
          <w:snapToGrid w:val="0"/>
        </w:rPr>
        <w:t>The Palestinians in Israel.</w:t>
      </w:r>
    </w:p>
    <w:p w14:paraId="207AA79D" w14:textId="77777777" w:rsidR="00BF41A3" w:rsidRPr="00B343CC" w:rsidRDefault="00BF41A3" w:rsidP="00323AE5">
      <w:pPr>
        <w:bidi w:val="0"/>
        <w:ind w:left="66"/>
        <w:jc w:val="both"/>
        <w:rPr>
          <w:rFonts w:cs="Times New Roman"/>
          <w:sz w:val="12"/>
          <w:szCs w:val="12"/>
        </w:rPr>
      </w:pPr>
    </w:p>
    <w:p w14:paraId="0396A98D" w14:textId="46EAFD93" w:rsidR="00BF41A3" w:rsidRPr="00B343CC" w:rsidRDefault="00BB1AC9" w:rsidP="004E1CFB">
      <w:pPr>
        <w:numPr>
          <w:ilvl w:val="0"/>
          <w:numId w:val="6"/>
        </w:numPr>
        <w:overflowPunct w:val="0"/>
        <w:autoSpaceDE w:val="0"/>
        <w:autoSpaceDN w:val="0"/>
        <w:bidi w:val="0"/>
        <w:adjustRightInd w:val="0"/>
        <w:ind w:right="0"/>
        <w:jc w:val="lowKashida"/>
        <w:textAlignment w:val="baseline"/>
        <w:rPr>
          <w:rFonts w:cs="Times New Roman"/>
          <w:b/>
          <w:bCs/>
          <w:snapToGrid w:val="0"/>
        </w:rPr>
      </w:pPr>
      <w:r w:rsidRPr="00B343CC">
        <w:rPr>
          <w:rFonts w:cs="Times New Roman"/>
          <w:b/>
          <w:bCs/>
          <w:snapToGrid w:val="0"/>
        </w:rPr>
        <w:t>United Nations Relief and Works Agency for Palestine Refugees in the Near East (UNRWA), 2025</w:t>
      </w:r>
      <w:r w:rsidRPr="00B343CC">
        <w:rPr>
          <w:rFonts w:cs="Times New Roman"/>
          <w:b/>
          <w:bCs/>
          <w:snapToGrid w:val="0"/>
          <w:rtl/>
        </w:rPr>
        <w:t>.</w:t>
      </w:r>
      <w:r w:rsidRPr="00B343CC">
        <w:rPr>
          <w:rFonts w:cs="Times New Roman"/>
          <w:b/>
          <w:bCs/>
          <w:snapToGrid w:val="0"/>
        </w:rPr>
        <w:t xml:space="preserve">  </w:t>
      </w:r>
      <w:r w:rsidRPr="00B343CC">
        <w:rPr>
          <w:rFonts w:cs="Times New Roman"/>
          <w:snapToGrid w:val="0"/>
        </w:rPr>
        <w:t>Annual Operational Report 2024</w:t>
      </w:r>
      <w:r w:rsidRPr="00B343CC">
        <w:rPr>
          <w:rFonts w:cs="Times New Roman"/>
          <w:snapToGrid w:val="0"/>
          <w:rtl/>
        </w:rPr>
        <w:t>.</w:t>
      </w:r>
      <w:r w:rsidRPr="00B343CC">
        <w:rPr>
          <w:rFonts w:cs="Times New Roman"/>
          <w:snapToGrid w:val="0"/>
        </w:rPr>
        <w:t xml:space="preserve">  Amman – Jordan.</w:t>
      </w:r>
    </w:p>
    <w:p w14:paraId="45F34217" w14:textId="77777777" w:rsidR="00BF41A3" w:rsidRPr="00D34D51" w:rsidRDefault="00BF41A3" w:rsidP="00323AE5">
      <w:pPr>
        <w:jc w:val="lowKashida"/>
        <w:rPr>
          <w:rFonts w:cs="Times New Roman"/>
        </w:rPr>
      </w:pPr>
    </w:p>
    <w:p w14:paraId="203B4B38" w14:textId="77777777" w:rsidR="00BF41A3" w:rsidRPr="00D34D51" w:rsidRDefault="00BF41A3" w:rsidP="00323AE5">
      <w:pPr>
        <w:jc w:val="lowKashida"/>
        <w:rPr>
          <w:rFonts w:cs="Times New Roman"/>
        </w:rPr>
      </w:pPr>
    </w:p>
    <w:p w14:paraId="1DC1552C" w14:textId="77777777" w:rsidR="00F91F2A" w:rsidRPr="00D34D51" w:rsidRDefault="00F91F2A" w:rsidP="00323AE5">
      <w:pPr>
        <w:bidi w:val="0"/>
        <w:rPr>
          <w:rFonts w:cs="Times New Roman"/>
          <w:b/>
          <w:bCs/>
        </w:rPr>
      </w:pPr>
      <w:r w:rsidRPr="00D34D51">
        <w:rPr>
          <w:rFonts w:cs="Times New Roman"/>
          <w:b/>
          <w:bCs/>
        </w:rPr>
        <w:br w:type="page"/>
      </w:r>
    </w:p>
    <w:p w14:paraId="1CED4ACF" w14:textId="77777777" w:rsidR="00502E1B" w:rsidRPr="00D34D51" w:rsidRDefault="00502E1B" w:rsidP="00323AE5">
      <w:pPr>
        <w:bidi w:val="0"/>
        <w:rPr>
          <w:rFonts w:cs="Times New Roman"/>
          <w:b/>
          <w:bCs/>
          <w:rtl/>
        </w:rPr>
      </w:pPr>
    </w:p>
    <w:sectPr w:rsidR="00502E1B" w:rsidRPr="00D34D51" w:rsidSect="006B3D25">
      <w:footerReference w:type="default" r:id="rId47"/>
      <w:endnotePr>
        <w:numFmt w:val="lowerLetter"/>
      </w:endnotePr>
      <w:pgSz w:w="9639" w:h="13608" w:code="9"/>
      <w:pgMar w:top="1134" w:right="1134" w:bottom="1134" w:left="1134" w:header="567" w:footer="567" w:gutter="0"/>
      <w:cols w:space="720"/>
      <w:bidi/>
      <w:rtlGutter/>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92E7CD" w14:textId="77777777" w:rsidR="00C75870" w:rsidRDefault="00C75870">
      <w:r>
        <w:separator/>
      </w:r>
    </w:p>
  </w:endnote>
  <w:endnote w:type="continuationSeparator" w:id="0">
    <w:p w14:paraId="2880F77A" w14:textId="77777777" w:rsidR="00C75870" w:rsidRDefault="00C758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Garamond">
    <w:panose1 w:val="02020404030301010803"/>
    <w:charset w:val="00"/>
    <w:family w:val="roman"/>
    <w:pitch w:val="variable"/>
    <w:sig w:usb0="00000287" w:usb1="00000000" w:usb2="00000000" w:usb3="00000000" w:csb0="0000009F" w:csb1="00000000"/>
  </w:font>
  <w:font w:name="Simplified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B9B62" w14:textId="77777777" w:rsidR="00C75870" w:rsidRPr="00BB5CA5" w:rsidRDefault="00C75870" w:rsidP="00BB5CA5">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39136" behindDoc="0" locked="0" layoutInCell="1" allowOverlap="1" wp14:anchorId="771C53F2" wp14:editId="14CD5A2F">
              <wp:simplePos x="0" y="0"/>
              <wp:positionH relativeFrom="margin">
                <wp:posOffset>0</wp:posOffset>
              </wp:positionH>
              <wp:positionV relativeFrom="paragraph">
                <wp:posOffset>-41910</wp:posOffset>
              </wp:positionV>
              <wp:extent cx="2076450" cy="257810"/>
              <wp:effectExtent l="0" t="0" r="0" b="0"/>
              <wp:wrapNone/>
              <wp:docPr id="164" name="Rectangle 16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989FF5" w14:textId="77777777" w:rsidR="00C75870" w:rsidRPr="00AE382B" w:rsidRDefault="00C75870" w:rsidP="00BB5CA5">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71C53F2" id="Rectangle 164" o:spid="_x0000_s1027" style="position:absolute;left:0;text-align:left;margin-left:0;margin-top:-3.3pt;width:163.5pt;height:20.3pt;z-index:2517391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3vmiwIAAGsFAAAOAAAAZHJzL2Uyb0RvYy54bWysVN9P2zAQfp+0/8Hy+0hatcAqUlSBmCYh&#10;QJSJZ9exm0iOzzu7Tbq/fmcnDQzQHqb1IbXvx3d3n+/u4rJrDNsr9DXYgk9Ocs6UlVDWdlvwH083&#10;X84580HYUhiwquAH5fnl8vOni9Yt1BQqMKVCRiDWL1pX8CoEt8gyLyvVCH8CTllSasBGBLriNitR&#10;tITemGya56dZC1g6BKm8J+l1r+TLhK+1kuFea68CMwWn3EL6Yvpu4jdbXojFFoWrajmkIf4hi0bU&#10;loKOUNciCLbD+h1UU0sEDzqcSGgy0LqWKtVA1UzyN9WsK+FUqoXI8W6kyf8/WHm3f0BWl/R2pzPO&#10;rGjokR6JNmG3RrEoJIpa5xdkuXYPONw8HWO9ncYm/lMlrEu0HkZaVReYJOE0PzudzYl9Sbrp/Ox8&#10;knjPXrwd+vBNQcPioeBI8RObYn/rA0Uk06NJDGbhpjYmPZ2xfwjIMEqymHCfYjqFg1HRzthHpana&#10;mFQKkPpMXRlke0EdIqRUNkx6VSVK1YvnOf0iDwQ/eqRbAozImhIasQeA2MPvsXuYwT66qtSmo3P+&#10;t8R659EjRQYbRuemtoAfARiqaojc2x9J6qmJLIVu05FJPG6gPFBbIPTz4p28qellboUPDwJpQOgx&#10;aejDPX20gbbgMJw4qwB/fSSP9tS3pOWspYEruP+5E6g4M98tdfTXyWwWJzRdZvOzKV3wtWbzWmN3&#10;zRXQi01ovTiZjtE+mKNUIzTPtBtWMSqphJUUu+Ay4PFyFfpFQNtFqtUqmdFUOhFu7drJCB4Jjp33&#10;1D0LdEN7BmrsOzgOp1i86dLeNnpaWO0C6Dq18AuvA/U00amHhu0TV8bre7J62ZHL3wAAAP//AwBQ&#10;SwMEFAAGAAgAAAAhAEy2K3zbAAAABgEAAA8AAABkcnMvZG93bnJldi54bWxMj0FPwzAMhe9I/IfI&#10;SNy2lDEVVJpOFQKkHVmREDe3MW2hcaom67p/jznBzc/Peu9zvlvcoGaaQu/ZwM06AUXceNtza+Ct&#10;el7dgwoR2eLgmQycKcCuuLzIMbP+xK80H2KrJIRDhga6GMdM69B05DCs/Ugs3qefHEaRU6vthCcJ&#10;d4PeJEmqHfYsDR2O9NhR8304OgOhnvfVeSzfvz5CU5dP7Krt/sWY66ulfAAVaYl/x/CLL+hQCFPt&#10;j2yDGgzII9HAKk1BiXu7uZNFLcM2AV3k+j9+8QMAAP//AwBQSwECLQAUAAYACAAAACEAtoM4kv4A&#10;AADhAQAAEwAAAAAAAAAAAAAAAAAAAAAAW0NvbnRlbnRfVHlwZXNdLnhtbFBLAQItABQABgAIAAAA&#10;IQA4/SH/1gAAAJQBAAALAAAAAAAAAAAAAAAAAC8BAABfcmVscy8ucmVsc1BLAQItABQABgAIAAAA&#10;IQDfD3vmiwIAAGsFAAAOAAAAAAAAAAAAAAAAAC4CAABkcnMvZTJvRG9jLnhtbFBLAQItABQABgAI&#10;AAAAIQBMtit82wAAAAYBAAAPAAAAAAAAAAAAAAAAAOUEAABkcnMvZG93bnJldi54bWxQSwUGAAAA&#10;AAQABADzAAAA7QUAAAAA&#10;" filled="f" stroked="f" strokeweight="2pt">
              <v:textbox>
                <w:txbxContent>
                  <w:p w14:paraId="5F989FF5" w14:textId="77777777" w:rsidR="00C75870" w:rsidRPr="00AE382B" w:rsidRDefault="00C75870" w:rsidP="00BB5CA5">
                    <w:pPr>
                      <w:rPr>
                        <w:color w:val="000000" w:themeColor="text1"/>
                      </w:rPr>
                    </w:pP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38112" behindDoc="0" locked="0" layoutInCell="1" allowOverlap="1" wp14:anchorId="25098CE0" wp14:editId="7A6E3202">
              <wp:simplePos x="0" y="0"/>
              <wp:positionH relativeFrom="margin">
                <wp:align>right</wp:align>
              </wp:positionH>
              <wp:positionV relativeFrom="paragraph">
                <wp:posOffset>-32385</wp:posOffset>
              </wp:positionV>
              <wp:extent cx="2001520" cy="257814"/>
              <wp:effectExtent l="0" t="0" r="0" b="0"/>
              <wp:wrapNone/>
              <wp:docPr id="165" name="Rectangle 16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B18A02" w14:textId="77777777" w:rsidR="00C75870" w:rsidRPr="00070481" w:rsidRDefault="00C75870" w:rsidP="00BB5CA5">
                          <w:pPr>
                            <w:pStyle w:val="Heade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5098CE0" id="Rectangle 165" o:spid="_x0000_s1028" style="position:absolute;left:0;text-align:left;margin-left:106.4pt;margin-top:-2.55pt;width:157.6pt;height:20.3pt;z-index:25173811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mZHiwIAAHIFAAAOAAAAZHJzL2Uyb0RvYy54bWysVFtP2zAUfp+0/2D5faSpWmARKaqKOk1C&#10;gCgTz65jN5EcH892m3S/fsd2GhigPUzrQ2qfy3cu/s65uu5bRQ7CugZ0SfOzCSVCc6gavSvpj6f1&#10;l0tKnGe6Ygq0KOlROHq9+PzpqjOFmEINqhKWIIh2RWdKWntviixzvBYtc2dghEalBNsyj1e7yyrL&#10;OkRvVTadTM6zDmxlLHDhHEpvkpIuIr6Ugvt7KZ3wRJUUc/Pxa+N3G77Z4ooVO8tM3fAhDfYPWbSs&#10;0Rh0hLphnpG9bd5BtQ234ED6Mw5tBlI2XMQasJp88qaaTc2MiLVgc5wZ2+T+Hyy/OzxY0lT4dudz&#10;SjRr8ZEesW1M75QgQYgt6owr0HJjHuxwc3gM9fbStuEfKyF9bOtxbKvoPeEoxHfK51PsPkfddH5x&#10;mc8CaPbibazz3wS0JBxKajF+7CY73DqfTE8mIZiGdaMUylmh9B8CxAySLCScUownf1QiWT8KidWG&#10;pGKAyDOxUpYcGDKEcS60z5OqZpVI4vkEf0PKo0csQGkEDMgSExqxB4DA4ffYqZzBPriKSNPRefK3&#10;xJLz6BEjg/ajc9tosB8BKKxqiJzsT01KrQld8v22T0wIlkGyheqI7LCQxsYZvm7wgW6Z8w/M4pzg&#10;m+Ls+3v8SAVdSWE4UVKD/fWRPNgjfVFLSYdzV1L3c8+soER910jsr/lsFgY1Xmbzi8Ab+1qzfa3R&#10;+3YF+HA5bhnD4zHYe3WSSgvtM66IZYiKKqY5xi4p9/Z0Wfm0D3DJcLFcRjMcTsP8rd4YHsBDnwMB&#10;n/pnZs3AUo/8voPTjLLiDVmTbfDUsNx7kE1k8ktfhxfAwY5UGpZQ2Byv79HqZVUufgM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HbpmR4sCAAByBQAADgAAAAAAAAAAAAAAAAAuAgAAZHJzL2Uyb0RvYy54bWxQSwECLQAUAAYA&#10;CAAAACEAbbtsWtwAAAAGAQAADwAAAAAAAAAAAAAAAADlBAAAZHJzL2Rvd25yZXYueG1sUEsFBgAA&#10;AAAEAAQA8wAAAO4FAAAAAA==&#10;" filled="f" stroked="f" strokeweight="2pt">
              <v:textbox>
                <w:txbxContent>
                  <w:p w14:paraId="38B18A02" w14:textId="77777777" w:rsidR="00C75870" w:rsidRPr="00070481" w:rsidRDefault="00C75870" w:rsidP="00BB5CA5">
                    <w:pPr>
                      <w:pStyle w:val="Header"/>
                      <w:jc w:val="right"/>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37088" behindDoc="0" locked="0" layoutInCell="1" allowOverlap="1" wp14:anchorId="70815F40" wp14:editId="2E300313">
              <wp:simplePos x="0" y="0"/>
              <wp:positionH relativeFrom="column">
                <wp:posOffset>2096135</wp:posOffset>
              </wp:positionH>
              <wp:positionV relativeFrom="paragraph">
                <wp:posOffset>-33655</wp:posOffset>
              </wp:positionV>
              <wp:extent cx="488054" cy="257814"/>
              <wp:effectExtent l="0" t="0" r="0" b="0"/>
              <wp:wrapNone/>
              <wp:docPr id="166" name="Rectangle 16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F4D574" w14:textId="0C18297A" w:rsidR="00C75870" w:rsidRPr="00AE382B" w:rsidRDefault="00C75870" w:rsidP="00BB5CA5">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C607D">
                            <w:rPr>
                              <w:b/>
                              <w:bCs/>
                              <w:color w:val="FFFFFF" w:themeColor="background1"/>
                              <w:sz w:val="18"/>
                              <w:szCs w:val="18"/>
                              <w:rtl/>
                            </w:rPr>
                            <w:t>14</w:t>
                          </w:r>
                          <w:r w:rsidRPr="00AE382B">
                            <w:rPr>
                              <w:b/>
                              <w:bCs/>
                              <w:color w:val="FFFFFF" w:themeColor="background1"/>
                              <w:sz w:val="18"/>
                              <w:szCs w:val="18"/>
                            </w:rPr>
                            <w:fldChar w:fldCharType="end"/>
                          </w:r>
                        </w:p>
                        <w:p w14:paraId="2AADAFB7" w14:textId="77777777" w:rsidR="00C75870" w:rsidRDefault="00C75870" w:rsidP="00BB5CA5">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0815F40" id="Rectangle 166" o:spid="_x0000_s1029" style="position:absolute;left:0;text-align:left;margin-left:165.05pt;margin-top:-2.65pt;width:38.45pt;height:20.3pt;z-index:251737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K9BjQIAAHEFAAAOAAAAZHJzL2Uyb0RvYy54bWysVFtP2zAUfp+0/2D5fU1atdBFpKgCdZqE&#10;AAETz65jN5FsH892m3S/fsdOGhigPUzrQ2qfy3cu/s65uOy0IgfhfAOmpNNJTokwHKrG7Er642nz&#10;ZUmJD8xUTIERJT0KTy9Xnz9dtLYQM6hBVcIRBDG+aG1J6xBskWWe10IzPwErDColOM0CXt0uqxxr&#10;EV2rbJbnZ1kLrrIOuPAepde9kq4SvpSChzspvQhElRRzC+nr0ncbv9nqghU7x2zd8CEN9g9ZaNYY&#10;DDpCXbPAyN4176B0wx14kGHCQWcgZcNFqgGrmeZvqnmsmRWpFmyOt2Ob/P+D5beHe0eaCt/u7IwS&#10;wzQ+0gO2jZmdEiQKsUWt9QVaPtp7N9w8HmO9nXQ6/mMlpEttPY5tFV0gHIXz5TJfzCnhqJotzpfT&#10;ecTMXpyt8+GbAE3ioaQOw6dmssOND73pySTGMrBplEI5K5T5Q4CYUZLFfPsM0ykcleitH4TEYjGn&#10;WQqQaCaulCMHhgRhnAsTpr2qZpXoxYscf0PKo0cqQBkEjMgSExqxB4BI4ffYfTmDfXQViaWjc/63&#10;xHrn0SNFBhNGZ90YcB8BKKxqiNzbn5rUtyZ2KXTbLhFhFi2jZAvVEcnhoJ8ab/mmwQe6YT7cM4dj&#10;ggOFox/u8CMVtCWF4URJDe7XR/Joj+xFLSUtjl1J/c89c4IS9d0gr79O5/M4p+kyX5zP8OJea7av&#10;NWavrwAfbopLxvJ0jPZBnaTSgX7GDbGOUVHFDMfYJeXBnS5XoV8HuGO4WK+TGc6mZeHGPFoewWOf&#10;IwGfumfm7MDSgPS+hdOIsuINWXvb6GlgvQ8gm8Tkl74OL4Bznag07KC4OF7fk9XLplz9Bg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NnSvQY0CAABxBQAADgAAAAAAAAAAAAAAAAAuAgAAZHJzL2Uyb0RvYy54bWxQSwECLQAU&#10;AAYACAAAACEAIDLzq90AAAAJAQAADwAAAAAAAAAAAAAAAADnBAAAZHJzL2Rvd25yZXYueG1sUEsF&#10;BgAAAAAEAAQA8wAAAPEFAAAAAA==&#10;" filled="f" stroked="f" strokeweight="2pt">
              <v:textbox>
                <w:txbxContent>
                  <w:p w14:paraId="6BF4D574" w14:textId="0C18297A" w:rsidR="00C75870" w:rsidRPr="00AE382B" w:rsidRDefault="00C75870" w:rsidP="00BB5CA5">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C607D">
                      <w:rPr>
                        <w:b/>
                        <w:bCs/>
                        <w:color w:val="FFFFFF" w:themeColor="background1"/>
                        <w:sz w:val="18"/>
                        <w:szCs w:val="18"/>
                        <w:rtl/>
                      </w:rPr>
                      <w:t>14</w:t>
                    </w:r>
                    <w:r w:rsidRPr="00AE382B">
                      <w:rPr>
                        <w:b/>
                        <w:bCs/>
                        <w:color w:val="FFFFFF" w:themeColor="background1"/>
                        <w:sz w:val="18"/>
                        <w:szCs w:val="18"/>
                      </w:rPr>
                      <w:fldChar w:fldCharType="end"/>
                    </w:r>
                  </w:p>
                  <w:p w14:paraId="2AADAFB7" w14:textId="77777777" w:rsidR="00C75870" w:rsidRDefault="00C75870" w:rsidP="00BB5CA5">
                    <w:pPr>
                      <w:jc w:val="center"/>
                    </w:pPr>
                  </w:p>
                </w:txbxContent>
              </v:textbox>
            </v:rect>
          </w:pict>
        </mc:Fallback>
      </mc:AlternateContent>
    </w:r>
    <w:r w:rsidRPr="00070481">
      <w:rPr>
        <w:rFonts w:ascii="Arial" w:hAnsi="Arial" w:cs="Arial"/>
        <w:b/>
        <w:bCs/>
      </w:rPr>
      <w:drawing>
        <wp:inline distT="0" distB="0" distL="0" distR="0" wp14:anchorId="02F2CE3E" wp14:editId="37DEC7F0">
          <wp:extent cx="4663440" cy="182880"/>
          <wp:effectExtent l="0" t="0" r="3810" b="7620"/>
          <wp:docPr id="167" name="Picture 16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C7D6F0" w14:textId="77777777" w:rsidR="00C75870" w:rsidRPr="00343376" w:rsidRDefault="00C75870"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42208" behindDoc="0" locked="0" layoutInCell="1" allowOverlap="1" wp14:anchorId="78A90A7E" wp14:editId="08047F7C">
              <wp:simplePos x="0" y="0"/>
              <wp:positionH relativeFrom="margin">
                <wp:posOffset>0</wp:posOffset>
              </wp:positionH>
              <wp:positionV relativeFrom="paragraph">
                <wp:posOffset>-41910</wp:posOffset>
              </wp:positionV>
              <wp:extent cx="2076450" cy="257810"/>
              <wp:effectExtent l="0" t="0" r="0" b="0"/>
              <wp:wrapNone/>
              <wp:docPr id="16" name="Rectangle 1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C15657C" w14:textId="56D8FD7E" w:rsidR="00C75870" w:rsidRPr="003E7351" w:rsidRDefault="00C75870" w:rsidP="00343376">
                          <w:pPr>
                            <w:bidi w:val="0"/>
                            <w:rPr>
                              <w:color w:val="000000" w:themeColor="text1"/>
                              <w:sz w:val="18"/>
                              <w:szCs w:val="18"/>
                            </w:rPr>
                          </w:pPr>
                          <w:r w:rsidRPr="003E7351">
                            <w:rPr>
                              <w:color w:val="000000" w:themeColor="text1"/>
                              <w:sz w:val="18"/>
                              <w:szCs w:val="18"/>
                            </w:rPr>
                            <w:t>Main Indicators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8A90A7E" id="Rectangle 16" o:spid="_x0000_s1030" style="position:absolute;left:0;text-align:left;margin-left:0;margin-top:-3.3pt;width:163.5pt;height:20.3pt;z-index:2517422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yZ7jgIAAHAFAAAOAAAAZHJzL2Uyb0RvYy54bWysVEtv2zAMvg/YfxB0X+1kSR9BnSJo0WFA&#10;0RZth54VWYoNyKJGKbGzXz9KdtyuLXYYloMj8fGR/Ejq/KJrDNsp9DXYgk+Ocs6UlVDWdlPwH0/X&#10;X04580HYUhiwquB75fnF8vOn89Yt1BQqMKVCRiDWL1pX8CoEt8gyLyvVCH8ETllSasBGBLriJitR&#10;tITemGya58dZC1g6BKm8J+lVr+TLhK+1kuFOa68CMwWn3EL6Yvqu4zdbnovFBoWrajmkIf4hi0bU&#10;loKOUFciCLbF+h1UU0sEDzocSWgy0LqWKtVA1UzyN9U8VsKpVAuR491Ik/9/sPJ2d4+sLql3x5xZ&#10;0VCPHog1YTdGMZIRQa3zC7J7dPc43DwdY7Wdxib+Ux2sS6TuR1JVF5gk4TQ/OZ7NiXtJuun85HSS&#10;WM9evB368E1Bw+Kh4EjhE5did+MDRSTTg0kMZuG6NiY1ztg/BGQYJVlMuE8xncLeqGhn7IPSVGtM&#10;KgVIU6YuDbKdoPkQUiobJr2qEqXqxfOcfpEHgh890i0BRmRNCY3YA0Cc4PfYPcxgH11VGtLROf9b&#10;Yr3z6JEigw2jc1NbwI8ADFU1RO7tDyT11ESWQrfu0hx8PbR8DeWeZgOhXxrv5HVNDboRPtwLpC2h&#10;ntLmhzv6aANtwWE4cVYB/vpIHu1peEnLWUtbV3D/cytQcWa+Wxrrs8lsFtc0XWbzkyld8LVm/Vpj&#10;t80lUOMm9MY4mY7RPpiDVCM0z/RArGJUUgkrKXbBZcDD5TL0rwE9MVKtVsmMVtOJcGMfnYzgkec4&#10;gE/ds0A3TGmg+b6Fw4aKxZth7W2jp4XVNoCu0yRHpntehw7QWqdRGp6g+G68vierl4dy+RsAAP//&#10;AwBQSwMEFAAGAAgAAAAhAEy2K3zbAAAABgEAAA8AAABkcnMvZG93bnJldi54bWxMj0FPwzAMhe9I&#10;/IfISNy2lDEVVJpOFQKkHVmREDe3MW2hcaom67p/jznBzc/Peu9zvlvcoGaaQu/ZwM06AUXceNtz&#10;a+Ctel7dgwoR2eLgmQycKcCuuLzIMbP+xK80H2KrJIRDhga6GMdM69B05DCs/Ugs3qefHEaRU6vt&#10;hCcJd4PeJEmqHfYsDR2O9NhR8304OgOhnvfVeSzfvz5CU5dP7Krt/sWY66ulfAAVaYl/x/CLL+hQ&#10;CFPtj2yDGgzII9HAKk1BiXu7uZNFLcM2AV3k+j9+8QMAAP//AwBQSwECLQAUAAYACAAAACEAtoM4&#10;kv4AAADhAQAAEwAAAAAAAAAAAAAAAAAAAAAAW0NvbnRlbnRfVHlwZXNdLnhtbFBLAQItABQABgAI&#10;AAAAIQA4/SH/1gAAAJQBAAALAAAAAAAAAAAAAAAAAC8BAABfcmVscy8ucmVsc1BLAQItABQABgAI&#10;AAAAIQBf5yZ7jgIAAHAFAAAOAAAAAAAAAAAAAAAAAC4CAABkcnMvZTJvRG9jLnhtbFBLAQItABQA&#10;BgAIAAAAIQBMtit82wAAAAYBAAAPAAAAAAAAAAAAAAAAAOgEAABkcnMvZG93bnJldi54bWxQSwUG&#10;AAAAAAQABADzAAAA8AUAAAAA&#10;" filled="f" stroked="f" strokeweight="2pt">
              <v:textbox>
                <w:txbxContent>
                  <w:p w14:paraId="3C15657C" w14:textId="56D8FD7E" w:rsidR="00C75870" w:rsidRPr="003E7351" w:rsidRDefault="00C75870" w:rsidP="00343376">
                    <w:pPr>
                      <w:bidi w:val="0"/>
                      <w:rPr>
                        <w:color w:val="000000" w:themeColor="text1"/>
                        <w:sz w:val="18"/>
                        <w:szCs w:val="18"/>
                      </w:rPr>
                    </w:pPr>
                    <w:r w:rsidRPr="003E7351">
                      <w:rPr>
                        <w:color w:val="000000" w:themeColor="text1"/>
                        <w:sz w:val="18"/>
                        <w:szCs w:val="18"/>
                      </w:rPr>
                      <w:t>Main Indicators</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41184" behindDoc="0" locked="0" layoutInCell="1" allowOverlap="1" wp14:anchorId="2F9B6754" wp14:editId="77D7CC97">
              <wp:simplePos x="0" y="0"/>
              <wp:positionH relativeFrom="margin">
                <wp:align>right</wp:align>
              </wp:positionH>
              <wp:positionV relativeFrom="paragraph">
                <wp:posOffset>-32385</wp:posOffset>
              </wp:positionV>
              <wp:extent cx="2001520" cy="257814"/>
              <wp:effectExtent l="0" t="0" r="0" b="0"/>
              <wp:wrapNone/>
              <wp:docPr id="18" name="Rectangle 18"/>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791711" w14:textId="77777777" w:rsidR="00C75870" w:rsidRPr="00070481" w:rsidRDefault="00C75870" w:rsidP="00343376">
                          <w:pPr>
                            <w:pStyle w:val="Heade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F9B6754" id="Rectangle 18" o:spid="_x0000_s1031" style="position:absolute;left:0;text-align:left;margin-left:106.4pt;margin-top:-2.55pt;width:157.6pt;height:20.3pt;z-index:25174118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g3XiQIAAHAFAAAOAAAAZHJzL2Uyb0RvYy54bWysVFtP2zAUfp+0/2D5faSp2sEiUlSBmCYh&#10;hoCJZ9exm0i2j2e7Tbpfv2M7DQzQHqb1IbXP5Tu37/j8YtCK7IXzHZialiczSoTh0HRmW9Mfj9ef&#10;zijxgZmGKTCipgfh6cXq44fz3lZiDi2oRjiCIMZXva1pG4KtisLzVmjmT8AKg0oJTrOAV7ctGsd6&#10;RNeqmM9mn4seXGMdcOE9Sq+ykq4SvpSCh+9SehGIqinmFtLXpe8mfovVOau2jtm242Ma7B+y0Kwz&#10;GHSCumKBkZ3r3kDpjjvwIMMJB12AlB0XqQasppy9quahZVakWrA53k5t8v8Plt/u7xzpGpwdTsow&#10;jTO6x64xs1WCoAwb1Ftfod2DvXPjzeMxVjtIp+M/1kGG1NTD1FQxBMJRiFMql3PsPUfdfHl6Vi4i&#10;aPHsbZ0PXwVoEg81dRg+9ZLtb3zIpkeTGMzAdacUylmlzB8CxIySIiacU0yncFAiW98LibXGpFKA&#10;xDJxqRzZM+QH41yYUGZVyxqRxcsZ/saUJ49UgDIIGJElJjRhjwCRwW+xczmjfXQViaST8+xviWXn&#10;ySNFBhMmZ90ZcO8BKKxqjJztj03KrYldCsNmSDxI04mSDTQH5IaDvDTe8usOB3TDfLhjDrcEZ4qb&#10;H77jRyroawrjiZIW3K/35NEeyYtaSnrcupr6nzvmBCXqm0FafykXi7im6bJYnkbeuJeazUuN2elL&#10;wMGV+MZYno7RPqijVDrQT/hArGNUVDHDMXZNeXDHy2XIrwE+MVys18kMV9OycGMeLI/gsc+RgI/D&#10;E3N2ZGlAft/CcUNZ9Yqs2TZ6GljvAsguMfm5r+MEcK0TlcYnKL4bL+/J6vmhXP0GAAD//wMAUEsD&#10;BBQABgAIAAAAIQBtu2xa3AAAAAYBAAAPAAAAZHJzL2Rvd25yZXYueG1sTI9BS8NAEIXvQv/DMgVv&#10;7Sa1EYnZlFCq0KONIN422TGJZmdDdpum/77jSW/zeI/3vsl2s+3FhKPvHCmI1xEIpNqZjhoF7+XL&#10;6gmED5qM7h2hgit62OWLu0ynxl3oDadTaASXkE+1gjaEIZXS1y1a7dduQGLvy41WB5ZjI82oL1xu&#10;e7mJokdpdUe80OoB9y3WP6ezVeCr6Vheh+Lj+9PXVXEgW26Pr0rdL+fiGUTAOfyF4Ref0SFnpsqd&#10;yXjRK+BHgoJVEoNg9yFONiAqPpIEZJ7J//j5DQAA//8DAFBLAQItABQABgAIAAAAIQC2gziS/gAA&#10;AOEBAAATAAAAAAAAAAAAAAAAAAAAAABbQ29udGVudF9UeXBlc10ueG1sUEsBAi0AFAAGAAgAAAAh&#10;ADj9If/WAAAAlAEAAAsAAAAAAAAAAAAAAAAALwEAAF9yZWxzLy5yZWxzUEsBAi0AFAAGAAgAAAAh&#10;AIZODdeJAgAAcAUAAA4AAAAAAAAAAAAAAAAALgIAAGRycy9lMm9Eb2MueG1sUEsBAi0AFAAGAAgA&#10;AAAhAG27bFrcAAAABgEAAA8AAAAAAAAAAAAAAAAA4wQAAGRycy9kb3ducmV2LnhtbFBLBQYAAAAA&#10;BAAEAPMAAADsBQAAAAA=&#10;" filled="f" stroked="f" strokeweight="2pt">
              <v:textbox>
                <w:txbxContent>
                  <w:p w14:paraId="73791711" w14:textId="77777777" w:rsidR="00C75870" w:rsidRPr="00070481" w:rsidRDefault="00C75870" w:rsidP="00343376">
                    <w:pPr>
                      <w:pStyle w:val="Header"/>
                      <w:jc w:val="right"/>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40160" behindDoc="0" locked="0" layoutInCell="1" allowOverlap="1" wp14:anchorId="2CD0BD36" wp14:editId="5EF779F0">
              <wp:simplePos x="0" y="0"/>
              <wp:positionH relativeFrom="column">
                <wp:posOffset>2096135</wp:posOffset>
              </wp:positionH>
              <wp:positionV relativeFrom="paragraph">
                <wp:posOffset>-33655</wp:posOffset>
              </wp:positionV>
              <wp:extent cx="488054" cy="257814"/>
              <wp:effectExtent l="0" t="0" r="0" b="0"/>
              <wp:wrapNone/>
              <wp:docPr id="19" name="Rectangle 1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64365A" w14:textId="6CD4204B"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C607D">
                            <w:rPr>
                              <w:b/>
                              <w:bCs/>
                              <w:color w:val="FFFFFF" w:themeColor="background1"/>
                              <w:sz w:val="18"/>
                              <w:szCs w:val="18"/>
                              <w:rtl/>
                            </w:rPr>
                            <w:t>18</w:t>
                          </w:r>
                          <w:r w:rsidRPr="00AE382B">
                            <w:rPr>
                              <w:b/>
                              <w:bCs/>
                              <w:color w:val="FFFFFF" w:themeColor="background1"/>
                              <w:sz w:val="18"/>
                              <w:szCs w:val="18"/>
                            </w:rPr>
                            <w:fldChar w:fldCharType="end"/>
                          </w:r>
                        </w:p>
                        <w:p w14:paraId="668601CB" w14:textId="77777777" w:rsidR="00C75870" w:rsidRDefault="00C75870"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CD0BD36" id="Rectangle 19" o:spid="_x0000_s1032" style="position:absolute;left:0;text-align:left;margin-left:165.05pt;margin-top:-2.65pt;width:38.45pt;height:20.3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SpjAIAAG8FAAAOAAAAZHJzL2Uyb0RvYy54bWysVFtP2zAUfp+0/2D5fSSt2lGipqgqYpqE&#10;AAETz65jN5FsH892m3S/fsdOGhigPUzrQ2qfy3cu/s5ZXnZakYNwvgFT0slZTokwHKrG7Er64+n6&#10;y4ISH5ipmAIjSnoUnl6uPn9atrYQU6hBVcIRBDG+aG1J6xBskWWe10IzfwZWGFRKcJoFvLpdVjnW&#10;IrpW2TTPv2YtuMo64MJ7lF71SrpK+FIKHu6k9CIQVVLMLaSvS99t/GarJSt2jtm64UMa7B+y0Kwx&#10;GHSEumKBkb1r3kHphjvwIMMZB52BlA0XqQasZpK/qeaxZlakWrA53o5t8v8Plt8e7h1pKny7C0oM&#10;0/hGD9g1ZnZKEJRhg1rrC7R7tPduuHk8xmo76XT8xzpIl5p6HJsqukA4CmeLRT6fUcJRNZ2fLyaz&#10;iJm9OFvnwzcBmsRDSR1GT61khxsfetOTSYxl4LpRCuWsUOYPAWJGSRbz7TNMp3BUord+EBJLxZym&#10;KUAimdgoRw4M6cE4FyZMelXNKtGL5zn+hpRHj1SAMggYkSUmNGIPAJHA77H7cgb76CoSR0fn/G+J&#10;9c6jR4oMJozOujHgPgJQWNUQubc/NalvTexS6LZdosE8WkbJFqojUsNBPzPe8usGH+iG+XDPHA4J&#10;jhMOfrjDj1TQlhSGEyU1uF8fyaM9che1lLQ4dCX1P/fMCUrUd4OsvpjMZnFK02U2P5/ixb3WbF9r&#10;zF5vAB9ugivG8nSM9kGdpNKBfsb9sI5RUcUMx9gl5cGdLpvQLwPcMFys18kMJ9OycGMeLY/gsc+R&#10;gE/dM3N2YGlAet/CaUBZ8YasvW30NLDeB5BNYvJLX4cXwKlOVBo2UFwbr+/J6mVPrn4DAAD//wMA&#10;UEsDBBQABgAIAAAAIQAgMvOr3QAAAAkBAAAPAAAAZHJzL2Rvd25yZXYueG1sTI/BTsMwEETvSPyD&#10;tUjcWrukQBXiVBECpB5pkFBvTrwkgXgdxW6a/j3LiR535ml2JtvOrhcTjqHzpGG1VCCQam87ajR8&#10;lK+LDYgQDVnTe0INZwywza+vMpNaf6J3nPaxERxCITUa2hiHVMpQt+hMWPoBib0vPzoT+RwbaUdz&#10;4nDXyzulHqQzHfGH1gz43GL9sz86DaGaduV5KD6/D6Guihdy5Xr3pvXtzVw8gYg4x38Y/upzdci5&#10;U+WPZIPoNSSJWjGqYXGfgGBgrR55XMUOCzLP5OWC/BcAAP//AwBQSwECLQAUAAYACAAAACEAtoM4&#10;kv4AAADhAQAAEwAAAAAAAAAAAAAAAAAAAAAAW0NvbnRlbnRfVHlwZXNdLnhtbFBLAQItABQABgAI&#10;AAAAIQA4/SH/1gAAAJQBAAALAAAAAAAAAAAAAAAAAC8BAABfcmVscy8ucmVsc1BLAQItABQABgAI&#10;AAAAIQB+zHSpjAIAAG8FAAAOAAAAAAAAAAAAAAAAAC4CAABkcnMvZTJvRG9jLnhtbFBLAQItABQA&#10;BgAIAAAAIQAgMvOr3QAAAAkBAAAPAAAAAAAAAAAAAAAAAOYEAABkcnMvZG93bnJldi54bWxQSwUG&#10;AAAAAAQABADzAAAA8AUAAAAA&#10;" filled="f" stroked="f" strokeweight="2pt">
              <v:textbox>
                <w:txbxContent>
                  <w:p w14:paraId="7364365A" w14:textId="6CD4204B"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C607D">
                      <w:rPr>
                        <w:b/>
                        <w:bCs/>
                        <w:color w:val="FFFFFF" w:themeColor="background1"/>
                        <w:sz w:val="18"/>
                        <w:szCs w:val="18"/>
                        <w:rtl/>
                      </w:rPr>
                      <w:t>18</w:t>
                    </w:r>
                    <w:r w:rsidRPr="00AE382B">
                      <w:rPr>
                        <w:b/>
                        <w:bCs/>
                        <w:color w:val="FFFFFF" w:themeColor="background1"/>
                        <w:sz w:val="18"/>
                        <w:szCs w:val="18"/>
                      </w:rPr>
                      <w:fldChar w:fldCharType="end"/>
                    </w:r>
                  </w:p>
                  <w:p w14:paraId="668601CB" w14:textId="77777777" w:rsidR="00C75870" w:rsidRDefault="00C75870" w:rsidP="00343376">
                    <w:pPr>
                      <w:jc w:val="center"/>
                    </w:pPr>
                  </w:p>
                </w:txbxContent>
              </v:textbox>
            </v:rect>
          </w:pict>
        </mc:Fallback>
      </mc:AlternateContent>
    </w:r>
    <w:r w:rsidRPr="00070481">
      <w:rPr>
        <w:rFonts w:ascii="Arial" w:hAnsi="Arial" w:cs="Arial"/>
        <w:b/>
        <w:bCs/>
      </w:rPr>
      <w:drawing>
        <wp:inline distT="0" distB="0" distL="0" distR="0" wp14:anchorId="570DC44D" wp14:editId="4630AF30">
          <wp:extent cx="4663440" cy="182880"/>
          <wp:effectExtent l="0" t="0" r="3810" b="7620"/>
          <wp:docPr id="224" name="Picture 224"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01342A" w14:textId="77777777" w:rsidR="00C75870" w:rsidRPr="00343376" w:rsidRDefault="00C75870"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62688" behindDoc="0" locked="0" layoutInCell="1" allowOverlap="1" wp14:anchorId="7C3B0978" wp14:editId="7FE7351B">
              <wp:simplePos x="0" y="0"/>
              <wp:positionH relativeFrom="margin">
                <wp:posOffset>0</wp:posOffset>
              </wp:positionH>
              <wp:positionV relativeFrom="paragraph">
                <wp:posOffset>-41910</wp:posOffset>
              </wp:positionV>
              <wp:extent cx="2076450" cy="257810"/>
              <wp:effectExtent l="0" t="0" r="0" b="0"/>
              <wp:wrapNone/>
              <wp:docPr id="13" name="Rectangle 1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3641AA1" w14:textId="77777777" w:rsidR="00C75870" w:rsidRPr="003E7351" w:rsidRDefault="00C75870" w:rsidP="00343376">
                          <w:pPr>
                            <w:bidi w:val="0"/>
                            <w:rPr>
                              <w:color w:val="000000" w:themeColor="text1"/>
                              <w:sz w:val="18"/>
                              <w:szCs w:val="18"/>
                            </w:rPr>
                          </w:pPr>
                          <w:r w:rsidRPr="003E7351">
                            <w:rPr>
                              <w:color w:val="000000" w:themeColor="text1"/>
                              <w:sz w:val="18"/>
                              <w:szCs w:val="18"/>
                            </w:rPr>
                            <w:t>General Information on Palestine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C3B0978" id="Rectangle 13" o:spid="_x0000_s1033" style="position:absolute;left:0;text-align:left;margin-left:0;margin-top:-3.3pt;width:163.5pt;height:20.3pt;z-index:2517626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uKWjgIAAHAFAAAOAAAAZHJzL2Uyb0RvYy54bWysVEtv2zAMvg/YfxB0X+1kSR9BnSJo0WFA&#10;0RZth54VWYoNyKJGKbGzXz9KdtyuLXYYloMj8fGR/Ejq/KJrDNsp9DXYgk+Ocs6UlVDWdlPwH0/X&#10;X04580HYUhiwquB75fnF8vOn89Yt1BQqMKVCRiDWL1pX8CoEt8gyLyvVCH8ETllSasBGBLriJitR&#10;tITemGya58dZC1g6BKm8J+lVr+TLhK+1kuFOa68CMwWn3EL6Yvqu4zdbnovFBoWrajmkIf4hi0bU&#10;loKOUFciCLbF+h1UU0sEDzocSWgy0LqWKtVA1UzyN9U8VsKpVAuR491Ik/9/sPJ2d4+sLql3Xzmz&#10;oqEePRBrwm6MYiQjglrnF2T36O5xuHk6xmo7jU38pzpYl0jdj6SqLjBJwml+cjybE/eSdNP5yekk&#10;sZ69eDv04ZuChsVDwZHCJy7F7sYHikimB5MYzMJ1bUxqnLF/CMgwSrKYcJ9iOoW9UdHO2AelqdaY&#10;VAqQpkxdGmQ7QfMhpFQ2THpVJUrVi+c5/SIPBD96pFsCjMiaEhqxB4A4we+xe5jBPrqqNKSjc/63&#10;xHrn0SNFBhtG56a2gB8BGKpqiNzbH0jqqYkshW7dpTk4PrR8DeWeZgOhXxrv5HVNDboRPtwLpC2h&#10;ntLmhzv6aANtwWE4cVYB/vpIHu1peEnLWUtbV3D/cytQcWa+Wxrrs8lsFtc0XWbzkyld8LVm/Vpj&#10;t80lUOMm9MY4mY7RPpiDVCM0z/RArGJUUgkrKXbBZcDD5TL0rwE9MVKtVsmMVtOJcGMfnYzgkec4&#10;gE/ds0A3TGmg+b6Fw4aKxZth7W2jp4XVNoCu0yRHpntehw7QWqdRGp6g+G68vierl4dy+RsAAP//&#10;AwBQSwMEFAAGAAgAAAAhAEy2K3zbAAAABgEAAA8AAABkcnMvZG93bnJldi54bWxMj0FPwzAMhe9I&#10;/IfISNy2lDEVVJpOFQKkHVmREDe3MW2hcaom67p/jznBzc/Peu9zvlvcoGaaQu/ZwM06AUXceNtz&#10;a+Ctel7dgwoR2eLgmQycKcCuuLzIMbP+xK80H2KrJIRDhga6GMdM69B05DCs/Ugs3qefHEaRU6vt&#10;hCcJd4PeJEmqHfYsDR2O9NhR8304OgOhnvfVeSzfvz5CU5dP7Krt/sWY66ulfAAVaYl/x/CLL+hQ&#10;CFPtj2yDGgzII9HAKk1BiXu7uZNFLcM2AV3k+j9+8QMAAP//AwBQSwECLQAUAAYACAAAACEAtoM4&#10;kv4AAADhAQAAEwAAAAAAAAAAAAAAAAAAAAAAW0NvbnRlbnRfVHlwZXNdLnhtbFBLAQItABQABgAI&#10;AAAAIQA4/SH/1gAAAJQBAAALAAAAAAAAAAAAAAAAAC8BAABfcmVscy8ucmVsc1BLAQItABQABgAI&#10;AAAAIQCNcuKWjgIAAHAFAAAOAAAAAAAAAAAAAAAAAC4CAABkcnMvZTJvRG9jLnhtbFBLAQItABQA&#10;BgAIAAAAIQBMtit82wAAAAYBAAAPAAAAAAAAAAAAAAAAAOgEAABkcnMvZG93bnJldi54bWxQSwUG&#10;AAAAAAQABADzAAAA8AUAAAAA&#10;" filled="f" stroked="f" strokeweight="2pt">
              <v:textbox>
                <w:txbxContent>
                  <w:p w14:paraId="63641AA1" w14:textId="77777777" w:rsidR="00C75870" w:rsidRPr="003E7351" w:rsidRDefault="00C75870" w:rsidP="00343376">
                    <w:pPr>
                      <w:bidi w:val="0"/>
                      <w:rPr>
                        <w:color w:val="000000" w:themeColor="text1"/>
                        <w:sz w:val="18"/>
                        <w:szCs w:val="18"/>
                      </w:rPr>
                    </w:pPr>
                    <w:r w:rsidRPr="003E7351">
                      <w:rPr>
                        <w:color w:val="000000" w:themeColor="text1"/>
                        <w:sz w:val="18"/>
                        <w:szCs w:val="18"/>
                      </w:rPr>
                      <w:t>General Information on Palestine</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61664" behindDoc="0" locked="0" layoutInCell="1" allowOverlap="1" wp14:anchorId="63ED3807" wp14:editId="1E8B620D">
              <wp:simplePos x="0" y="0"/>
              <wp:positionH relativeFrom="margin">
                <wp:align>right</wp:align>
              </wp:positionH>
              <wp:positionV relativeFrom="paragraph">
                <wp:posOffset>-32385</wp:posOffset>
              </wp:positionV>
              <wp:extent cx="2001520" cy="257814"/>
              <wp:effectExtent l="0" t="0" r="0" b="0"/>
              <wp:wrapNone/>
              <wp:docPr id="31" name="Rectangle 3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65B905" w14:textId="77777777" w:rsidR="00C75870" w:rsidRPr="00070481" w:rsidRDefault="00C75870" w:rsidP="00343376">
                          <w:pPr>
                            <w:pStyle w:val="Heade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3ED3807" id="Rectangle 31" o:spid="_x0000_s1034" style="position:absolute;left:0;text-align:left;margin-left:106.4pt;margin-top:-2.55pt;width:157.6pt;height:20.3pt;z-index:25176166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wdiwIAAHAFAAAOAAAAZHJzL2Uyb0RvYy54bWysVFtv2yAUfp+0/4B4Xx1nydpZcaqoVadJ&#10;VRu1nfpMMMSWMIcBiZ39+h3AcbO22sM0P2A4l+9c+A6Ly75VZC+sa0CXND+bUCI0h6rR25L+eLr5&#10;dEGJ80xXTIEWJT0IRy+XHz8sOlOIKdSgKmEJgmhXdKaktfemyDLHa9EydwZGaFRKsC3zeLTbrLKs&#10;Q/RWZdPJ5EvWga2MBS6cQ+l1UtJlxJdScH8vpROeqJJibj6uNq6bsGbLBSu2lpm64UMa7B+yaFmj&#10;MegIdc08IzvbvIFqG27BgfRnHNoMpGy4iDVgNfnkVTWPNTMi1oLNcWZsk/t/sPxuv7akqUr6OadE&#10;sxbv6AG7xvRWCYIybFBnXIF2j2Zth5PDbai2l7YNf6yD9LGph7GpoveEoxBvKZ9PsfccddP5+UU+&#10;C6DZi7exzn8T0JKwKanF8LGXbH/rfDI9moRgGm4apVDOCqX/ECBmkGQh4ZRi3PmDEsn6QUisNSQV&#10;A0SWiStlyZ4hPxjnQvs8qWpWiSSeT/AbUh49YgFKI2BAlpjQiD0ABAa/xU7lDPbBVUSSjs6TvyWW&#10;nEePGBm0H53bRoN9D0BhVUPkZH9sUmpN6JLvN33kwXmwDJINVAfkhoU0NM7wmwYv6JY5v2YWpwTv&#10;FCff3+MiFXQlhWFHSQ3213vyYI/kRS0lHU5dSd3PHbOCEvVdI62/5rNZGNN4mM3PA2/sqWZzqtG7&#10;9grw4pC5mF3cBnuvjlJpoX3GB2IVoqKKaY6xS8q9PR6ufHoN8InhYrWKZjiahvlb/Wh4AA99DgR8&#10;6p+ZNQNLPfL7Do4TyopXZE22wVPDaudBNpHJL30dbgDHOlJpeILCu3F6jlYvD+XyNwA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YjP8HYsCAABwBQAADgAAAAAAAAAAAAAAAAAuAgAAZHJzL2Uyb0RvYy54bWxQSwECLQAUAAYA&#10;CAAAACEAbbtsWtwAAAAGAQAADwAAAAAAAAAAAAAAAADlBAAAZHJzL2Rvd25yZXYueG1sUEsFBgAA&#10;AAAEAAQA8wAAAO4FAAAAAA==&#10;" filled="f" stroked="f" strokeweight="2pt">
              <v:textbox>
                <w:txbxContent>
                  <w:p w14:paraId="4D65B905" w14:textId="77777777" w:rsidR="00C75870" w:rsidRPr="00070481" w:rsidRDefault="00C75870" w:rsidP="00343376">
                    <w:pPr>
                      <w:pStyle w:val="Header"/>
                      <w:jc w:val="right"/>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60640" behindDoc="0" locked="0" layoutInCell="1" allowOverlap="1" wp14:anchorId="643D49B6" wp14:editId="1E41C5C7">
              <wp:simplePos x="0" y="0"/>
              <wp:positionH relativeFrom="column">
                <wp:posOffset>2096135</wp:posOffset>
              </wp:positionH>
              <wp:positionV relativeFrom="paragraph">
                <wp:posOffset>-33655</wp:posOffset>
              </wp:positionV>
              <wp:extent cx="488054" cy="257814"/>
              <wp:effectExtent l="0" t="0" r="0" b="0"/>
              <wp:wrapNone/>
              <wp:docPr id="226" name="Rectangle 22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2315FF" w14:textId="6D704BC0"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C607D">
                            <w:rPr>
                              <w:b/>
                              <w:bCs/>
                              <w:color w:val="FFFFFF" w:themeColor="background1"/>
                              <w:sz w:val="18"/>
                              <w:szCs w:val="18"/>
                              <w:rtl/>
                            </w:rPr>
                            <w:t>20</w:t>
                          </w:r>
                          <w:r w:rsidRPr="00AE382B">
                            <w:rPr>
                              <w:b/>
                              <w:bCs/>
                              <w:color w:val="FFFFFF" w:themeColor="background1"/>
                              <w:sz w:val="18"/>
                              <w:szCs w:val="18"/>
                            </w:rPr>
                            <w:fldChar w:fldCharType="end"/>
                          </w:r>
                        </w:p>
                        <w:p w14:paraId="320FB3E0" w14:textId="77777777" w:rsidR="00C75870" w:rsidRDefault="00C75870"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43D49B6" id="Rectangle 226" o:spid="_x0000_s1035" style="position:absolute;left:0;text-align:left;margin-left:165.05pt;margin-top:-2.65pt;width:38.45pt;height:20.3pt;z-index:251760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D8UjQIAAHEFAAAOAAAAZHJzL2Uyb0RvYy54bWysVFtP2zAUfp+0/2D5fSSNWugiUlSBmCYh&#10;QMDEs+vYTSTbx7PdJt2v37GTBgZoD9P64Nrn8p1LvnPOL3qtyF4434Kp6Owkp0QYDnVrthX98XT9&#10;ZUmJD8zUTIERFT0ITy9Wnz+dd7YUBTSgauEIghhfdraiTQi2zDLPG6GZPwErDColOM0CPt02qx3r&#10;EF2rrMjz06wDV1sHXHiP0qtBSVcJX0rBw52UXgSiKoq5hXS6dG7ima3OWbl1zDYtH9Ng/5CFZq3B&#10;oBPUFQuM7Fz7Dkq33IEHGU446AykbLlINWA1s/xNNY8NsyLVgs3xdmqT/3+w/HZ/70hbV7QoTikx&#10;TONHesC2MbNVgkQhtqizvkTLR3vvxpfHa6y3l07Hf6yE9Kmth6mtog+Eo3C+XOaLOSUcVcXibDmb&#10;R8zsxdk6H74J0CReKuowfGom29/4MJgeTWIsA9etUihnpTJ/CBAzSrKY75BhuoWDEoP1g5BYLOZU&#10;pACJZuJSObJnSBDGuTBhNqgaVotBvMjxN6Y8eaQClEHAiCwxoQl7BIgUfo89lDPaR1eRWDo5539L&#10;bHCePFJkMGFy1q0B9xGAwqrGyIP9sUlDa2KXQr/pExGW0TJKNlAfkBwOhqnxll+3+IFumA/3zOGY&#10;4EDh6Ic7PKSCrqIw3ihpwP36SB7tkb2opaTDsauo/7ljTlCivhvk9dfZfB7nND3mi7MCH+61ZvNa&#10;Y3b6EvDDzXDJWJ6u0T6oo1Q60M+4IdYxKqqY4Ri7ojy44+MyDOsAdwwX63Uyw9m0LNyYR8sjeOxz&#10;JOBT/8ycHVkakN63cBxRVr4h62AbPQ2sdwFkm5j80tfxC+BcJyqNOygujtfvZPWyKVe/AQ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rwA/FI0CAABxBQAADgAAAAAAAAAAAAAAAAAuAgAAZHJzL2Uyb0RvYy54bWxQSwECLQAU&#10;AAYACAAAACEAIDLzq90AAAAJAQAADwAAAAAAAAAAAAAAAADnBAAAZHJzL2Rvd25yZXYueG1sUEsF&#10;BgAAAAAEAAQA8wAAAPEFAAAAAA==&#10;" filled="f" stroked="f" strokeweight="2pt">
              <v:textbox>
                <w:txbxContent>
                  <w:p w14:paraId="592315FF" w14:textId="6D704BC0"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C607D">
                      <w:rPr>
                        <w:b/>
                        <w:bCs/>
                        <w:color w:val="FFFFFF" w:themeColor="background1"/>
                        <w:sz w:val="18"/>
                        <w:szCs w:val="18"/>
                        <w:rtl/>
                      </w:rPr>
                      <w:t>20</w:t>
                    </w:r>
                    <w:r w:rsidRPr="00AE382B">
                      <w:rPr>
                        <w:b/>
                        <w:bCs/>
                        <w:color w:val="FFFFFF" w:themeColor="background1"/>
                        <w:sz w:val="18"/>
                        <w:szCs w:val="18"/>
                      </w:rPr>
                      <w:fldChar w:fldCharType="end"/>
                    </w:r>
                  </w:p>
                  <w:p w14:paraId="320FB3E0" w14:textId="77777777" w:rsidR="00C75870" w:rsidRDefault="00C75870" w:rsidP="00343376">
                    <w:pPr>
                      <w:jc w:val="center"/>
                    </w:pPr>
                  </w:p>
                </w:txbxContent>
              </v:textbox>
            </v:rect>
          </w:pict>
        </mc:Fallback>
      </mc:AlternateContent>
    </w:r>
    <w:r w:rsidRPr="00070481">
      <w:rPr>
        <w:rFonts w:ascii="Arial" w:hAnsi="Arial" w:cs="Arial"/>
        <w:b/>
        <w:bCs/>
      </w:rPr>
      <w:drawing>
        <wp:inline distT="0" distB="0" distL="0" distR="0" wp14:anchorId="5C4D2408" wp14:editId="166C1E5A">
          <wp:extent cx="4663440" cy="182880"/>
          <wp:effectExtent l="0" t="0" r="3810" b="7620"/>
          <wp:docPr id="230" name="Picture 23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E96871" w14:textId="77777777" w:rsidR="00C75870" w:rsidRPr="00343376" w:rsidRDefault="00C75870" w:rsidP="000D4858">
    <w:pPr>
      <w:pStyle w:val="Footer"/>
      <w:rPr>
        <w:rFonts w:ascii="Arial" w:hAnsi="Arial" w:cs="Arial"/>
      </w:rPr>
    </w:pPr>
    <w:r w:rsidRPr="00070481">
      <w:rPr>
        <w:rFonts w:ascii="Arial" w:hAnsi="Arial" w:cs="Arial"/>
      </w:rPr>
      <mc:AlternateContent>
        <mc:Choice Requires="wps">
          <w:drawing>
            <wp:anchor distT="0" distB="0" distL="114300" distR="114300" simplePos="0" relativeHeight="251745280" behindDoc="0" locked="0" layoutInCell="1" allowOverlap="1" wp14:anchorId="54BDAFE2" wp14:editId="0C115D14">
              <wp:simplePos x="0" y="0"/>
              <wp:positionH relativeFrom="margin">
                <wp:align>right</wp:align>
              </wp:positionH>
              <wp:positionV relativeFrom="paragraph">
                <wp:posOffset>-44919</wp:posOffset>
              </wp:positionV>
              <wp:extent cx="2001520" cy="257814"/>
              <wp:effectExtent l="0" t="0" r="0" b="0"/>
              <wp:wrapNone/>
              <wp:docPr id="284" name="Rectangle 28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70E817" w14:textId="77777777" w:rsidR="00C75870" w:rsidRPr="003E7351" w:rsidRDefault="00C75870" w:rsidP="00343376">
                          <w:pPr>
                            <w:pStyle w:val="Header"/>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Summary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4BDAFE2" id="Rectangle 284" o:spid="_x0000_s1036" style="position:absolute;left:0;text-align:left;margin-left:106.4pt;margin-top:-3.55pt;width:157.6pt;height:20.3pt;z-index:25174528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GUujQIAAHIFAAAOAAAAZHJzL2Uyb0RvYy54bWysVFtP2zAUfp+0/2D5faSp2gEVKapATJMQ&#10;IMrEs+vYTSTHx7PdJt2v3zlOGhigPUzrQ2qfy3du3/HFZdcYtlc+1GALnp9MOFNWQlnbbcF/PN18&#10;OeMsRGFLYcCqgh9U4JfLz58uWrdQU6jAlMozBLFh0bqCVzG6RZYFWalGhBNwyqJSg29ExKvfZqUX&#10;LaI3JptOJl+zFnzpPEgVAkqveyVfJnytlYz3WgcVmSk45hbT16fvhr7Z8kIstl64qpZDGuIfsmhE&#10;bTHoCHUtomA7X7+DamrpIYCOJxKaDLSupUo1YDX55E0160o4lWrB5gQ3tin8P1h5t3/wrC4LPj2b&#10;cWZFg0N6xLYJuzWKkRBb1LqwQMu1e/DDLeCR6u20b+gfK2FdauthbKvqIpMoxDnl8yl2X6JuOj89&#10;yxNo9uLtfIjfFDSMDgX3GD91U+xvQ8SIaHo0oWAWbmpj0uiM/UOAhiTJKOE+xXSKB6PIzthHpbFa&#10;SioFSDxTV8azvUCGCCmVjXmvqkSpevF8gj/qA8KPHumWAAlZY0Ij9gBAHH6P3cMM9uSqEk1H58nf&#10;EuudR48UGWwcnZvagv8IwGBVQ+Te/tikvjXUpdhtusSE8+PIN1AekB0e+rUJTt7UOKBbEeKD8Lgn&#10;OFPc/XiPH22gLTgMJ84q8L8+kpM90he1nLW4dwUPP3fCK87Md4vEPs9nM1rUdJnNT4k3/rVm81pj&#10;d80V4OByfGWcTEeyj+Yo1R6aZ3wiVhQVVcJKjF1wGf3xchX79wAfGalWq2SGy+lEvLVrJwmc+kwE&#10;fOqehXcDSyPy+w6OOyoWb8ja25KnhdUugq4Tk6nTfV+HCeBiJyoNjxC9HK/vyerlqVz+BgAA//8D&#10;AFBLAwQUAAYACAAAACEAxw7eBN0AAAAGAQAADwAAAGRycy9kb3ducmV2LnhtbEyPwU7DMBBE75X6&#10;D9YicWudtBRQiFNFFSD12AYJcXPiJQnE6yh20/Tv2Z7KbUczmnmbbifbiREH3zpSEC8jEEiVMy3V&#10;Cj6Kt8UzCB80Gd05QgUX9LDN5rNUJ8ad6YDjMdSCS8gnWkETQp9I6asGrfZL1yOx9+0GqwPLoZZm&#10;0Gcut51cRdGjtLolXmh0j7sGq9/jySrw5bgvLn3++fPlqzJ/JVs87N+Vur+b8hcQAadwC8MVn9Eh&#10;Y6bSnch40SngR4KCxVMMgt11vFmBKPlYb0BmqfyPn/0BAAD//wMAUEsBAi0AFAAGAAgAAAAhALaD&#10;OJL+AAAA4QEAABMAAAAAAAAAAAAAAAAAAAAAAFtDb250ZW50X1R5cGVzXS54bWxQSwECLQAUAAYA&#10;CAAAACEAOP0h/9YAAACUAQAACwAAAAAAAAAAAAAAAAAvAQAAX3JlbHMvLnJlbHNQSwECLQAUAAYA&#10;CAAAACEAkphlLo0CAAByBQAADgAAAAAAAAAAAAAAAAAuAgAAZHJzL2Uyb0RvYy54bWxQSwECLQAU&#10;AAYACAAAACEAxw7eBN0AAAAGAQAADwAAAAAAAAAAAAAAAADnBAAAZHJzL2Rvd25yZXYueG1sUEsF&#10;BgAAAAAEAAQA8wAAAPEFAAAAAA==&#10;" filled="f" stroked="f" strokeweight="2pt">
              <v:textbox>
                <w:txbxContent>
                  <w:p w14:paraId="1870E817" w14:textId="77777777" w:rsidR="00C75870" w:rsidRPr="003E7351" w:rsidRDefault="00C75870" w:rsidP="00343376">
                    <w:pPr>
                      <w:pStyle w:val="Header"/>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Summary</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46304" behindDoc="0" locked="0" layoutInCell="1" allowOverlap="1" wp14:anchorId="112C71EE" wp14:editId="711B6AA2">
              <wp:simplePos x="0" y="0"/>
              <wp:positionH relativeFrom="margin">
                <wp:posOffset>0</wp:posOffset>
              </wp:positionH>
              <wp:positionV relativeFrom="paragraph">
                <wp:posOffset>-41910</wp:posOffset>
              </wp:positionV>
              <wp:extent cx="2076450" cy="257810"/>
              <wp:effectExtent l="0" t="0" r="0" b="0"/>
              <wp:wrapNone/>
              <wp:docPr id="283" name="Rectangle 28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E8F9DB" w14:textId="77777777" w:rsidR="00C75870" w:rsidRPr="003E7351" w:rsidRDefault="00C75870" w:rsidP="00343376">
                          <w:pPr>
                            <w:bidi w:val="0"/>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Palestinians in State of Palestine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12C71EE" id="Rectangle 283" o:spid="_x0000_s1037" style="position:absolute;left:0;text-align:left;margin-left:0;margin-top:-3.3pt;width:163.5pt;height:20.3pt;z-index:2517463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1PFjwIAAHMFAAAOAAAAZHJzL2Uyb0RvYy54bWysVEtv2zAMvg/YfxB0X+1kSR9BnSJo0WFA&#10;0RZth54VWYoNyKJGKbGzXz9KdtyuLXYYloMj8fGR/ETy/KJrDNsp9DXYgk+Ocs6UlVDWdlPwH0/X&#10;X04580HYUhiwquB75fnF8vOn89Yt1BQqMKVCRiDWL1pX8CoEt8gyLyvVCH8ETllSasBGBLriJitR&#10;tITemGya58dZC1g6BKm8J+lVr+TLhK+1kuFOa68CMwWn3EL6Yvqu4zdbnovFBoWrajmkIf4hi0bU&#10;loKOUFciCLbF+h1UU0sEDzocSWgy0LqWKtVA1UzyN9U8VsKpVAuR491Ik/9/sPJ2d4+sLgs+Pf3K&#10;mRUNPdID0SbsxigWhURR6/yCLB/dPQ43T8dYb6exif9UCesSrfuRVtUFJkk4zU+OZ3NiX5JuOj85&#10;nSTesxdvhz58U9CweCg4UvzEptjd+EARyfRgEoNZuK6NSU9n7B8CMoySLCbcp5hOYW9UtDP2QWmq&#10;NiaVAqQ+U5cG2U5QhwgplQ2TXlWJUvXieU6/yAPBjx7plgAjsqaERuwBIPbwe+weZrCPriq16eic&#10;/y2x3nn0SJHBhtG5qS3gRwCGqhoi9/YHknpqIkuhW3epE/rniaI1lHtqD4R+bryT1zW90I3w4V4g&#10;DQo9Kg1/uKOPNtAWHIYTZxXgr4/k0Z76l7SctTR4Bfc/twIVZ+a7pc4+m8xmcVLTZTY/mdIFX2vW&#10;rzV221wCvdyE1oyT6RjtgzlINULzTDtiFaOSSlhJsQsuAx4ul6FfCLRlpFqtkhlNpxPhxj46GcEj&#10;0bEDn7pngW5o00ANfguHIRWLN93a20ZPC6ttAF2nVn7hdXgCmuzUS8MWiqvj9T1ZvezK5W8AAAD/&#10;/wMAUEsDBBQABgAIAAAAIQBMtit82wAAAAYBAAAPAAAAZHJzL2Rvd25yZXYueG1sTI9BT8MwDIXv&#10;SPyHyEjctpQxFVSaThUCpB1ZkRA3tzFtoXGqJuu6f485wc3Pz3rvc75b3KBmmkLv2cDNOgFF3Hjb&#10;c2vgrXpe3YMKEdni4JkMnCnArri8yDGz/sSvNB9iqySEQ4YGuhjHTOvQdOQwrP1ILN6nnxxGkVOr&#10;7YQnCXeD3iRJqh32LA0djvTYUfN9ODoDoZ731Xks378+QlOXT+yq7f7FmOurpXwAFWmJf8fwiy/o&#10;UAhT7Y9sgxoMyCPRwCpNQYl7u7mTRS3DNgFd5Po/fvEDAAD//wMAUEsBAi0AFAAGAAgAAAAhALaD&#10;OJL+AAAA4QEAABMAAAAAAAAAAAAAAAAAAAAAAFtDb250ZW50X1R5cGVzXS54bWxQSwECLQAUAAYA&#10;CAAAACEAOP0h/9YAAACUAQAACwAAAAAAAAAAAAAAAAAvAQAAX3JlbHMvLnJlbHNQSwECLQAUAAYA&#10;CAAAACEAQbNTxY8CAABzBQAADgAAAAAAAAAAAAAAAAAuAgAAZHJzL2Uyb0RvYy54bWxQSwECLQAU&#10;AAYACAAAACEATLYrfNsAAAAGAQAADwAAAAAAAAAAAAAAAADpBAAAZHJzL2Rvd25yZXYueG1sUEsF&#10;BgAAAAAEAAQA8wAAAPEFAAAAAA==&#10;" filled="f" stroked="f" strokeweight="2pt">
              <v:textbox>
                <w:txbxContent>
                  <w:p w14:paraId="7BE8F9DB" w14:textId="77777777" w:rsidR="00C75870" w:rsidRPr="003E7351" w:rsidRDefault="00C75870" w:rsidP="00343376">
                    <w:pPr>
                      <w:bidi w:val="0"/>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Palestinians in State of Palestine</w:t>
                    </w: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44256" behindDoc="0" locked="0" layoutInCell="1" allowOverlap="1" wp14:anchorId="43D6CB60" wp14:editId="22450BE7">
              <wp:simplePos x="0" y="0"/>
              <wp:positionH relativeFrom="column">
                <wp:posOffset>2096135</wp:posOffset>
              </wp:positionH>
              <wp:positionV relativeFrom="paragraph">
                <wp:posOffset>-33655</wp:posOffset>
              </wp:positionV>
              <wp:extent cx="488054" cy="257814"/>
              <wp:effectExtent l="0" t="0" r="0" b="0"/>
              <wp:wrapNone/>
              <wp:docPr id="285" name="Rectangle 285"/>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61D150A" w14:textId="5678645B"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C607D">
                            <w:rPr>
                              <w:b/>
                              <w:bCs/>
                              <w:color w:val="FFFFFF" w:themeColor="background1"/>
                              <w:sz w:val="18"/>
                              <w:szCs w:val="18"/>
                              <w:rtl/>
                            </w:rPr>
                            <w:t>42</w:t>
                          </w:r>
                          <w:r w:rsidRPr="00AE382B">
                            <w:rPr>
                              <w:b/>
                              <w:bCs/>
                              <w:color w:val="FFFFFF" w:themeColor="background1"/>
                              <w:sz w:val="18"/>
                              <w:szCs w:val="18"/>
                            </w:rPr>
                            <w:fldChar w:fldCharType="end"/>
                          </w:r>
                        </w:p>
                        <w:p w14:paraId="34BCF2E8" w14:textId="77777777" w:rsidR="00C75870" w:rsidRDefault="00C75870"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3D6CB60" id="Rectangle 285" o:spid="_x0000_s1038" style="position:absolute;left:0;text-align:left;margin-left:165.05pt;margin-top:-2.65pt;width:38.45pt;height:20.3pt;z-index:25174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tZBjQIAAHIFAAAOAAAAZHJzL2Uyb0RvYy54bWysVFtP2zAUfp+0/2D5fSSp2lEiUlSBmCYh&#10;QMDEs+vYTSTHx7PdJt2v37GdBgZoD9P64Nrn8p1LvnPOL4ZOkb2wrgVd0eIkp0RoDnWrtxX98XT9&#10;ZUmJ80zXTIEWFT0IRy9Wnz+d96YUM2hA1cISBNGu7E1FG+9NmWWON6Jj7gSM0KiUYDvm8Wm3WW1Z&#10;j+idymZ5/jXrwdbGAhfOofQqKekq4kspuL+T0glPVEUxNx9PG89NOLPVOSu3lpmm5WMa7B+y6Fir&#10;MegEdcU8IzvbvoPqWm7BgfQnHLoMpGy5iDVgNUX+pprHhhkRa8HmODO1yf0/WH67v7ekrSs6Wy4o&#10;0azDj/SAbWN6qwQJQmxRb1yJlo/m3o4vh9dQ7yBtF/6xEjLEth6mtorBE47C+XKZL+aUcFTNFqfL&#10;Yh4wsxdnY53/JqAj4VJRi+FjM9n+xvlkejQJsTRct0qhnJVK/yFAzCDJQr4pw3jzByWS9YOQWCzm&#10;NIsBIs3EpbJkz5AgjHOhfZFUDatFEi9y/I0pTx6xAKURMCBLTGjCHgEChd9jp3JG++AqIksn5/xv&#10;iSXnySNGBu0n567VYD8CUFjVGDnZH5uUWhO65IfNEIlQRNMg2kB9QHZYSGPjDL9u8QvdMOfvmcU5&#10;wYnC2fd3eEgFfUVhvFHSgP31kTzYI31RS0mPc1dR93PHrKBEfddI7LNiPg+DGh/zxekMH/a1ZvNa&#10;o3fdJeCXK3DLGB6vwd6ro1Ra6J5xRaxDVFQxzTF2Rbm3x8elT/sAlwwX63U0w+E0zN/oR8MDeGh0&#10;YODT8MysGWnqkd+3cJxRVr5ha7INnhrWOw+yjVR+6ev4CXCwI5fGJRQ2x+t3tHpZlavfAA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1wbWQY0CAAByBQAADgAAAAAAAAAAAAAAAAAuAgAAZHJzL2Uyb0RvYy54bWxQSwECLQAU&#10;AAYACAAAACEAIDLzq90AAAAJAQAADwAAAAAAAAAAAAAAAADnBAAAZHJzL2Rvd25yZXYueG1sUEsF&#10;BgAAAAAEAAQA8wAAAPEFAAAAAA==&#10;" filled="f" stroked="f" strokeweight="2pt">
              <v:textbox>
                <w:txbxContent>
                  <w:p w14:paraId="561D150A" w14:textId="5678645B"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C607D">
                      <w:rPr>
                        <w:b/>
                        <w:bCs/>
                        <w:color w:val="FFFFFF" w:themeColor="background1"/>
                        <w:sz w:val="18"/>
                        <w:szCs w:val="18"/>
                        <w:rtl/>
                      </w:rPr>
                      <w:t>42</w:t>
                    </w:r>
                    <w:r w:rsidRPr="00AE382B">
                      <w:rPr>
                        <w:b/>
                        <w:bCs/>
                        <w:color w:val="FFFFFF" w:themeColor="background1"/>
                        <w:sz w:val="18"/>
                        <w:szCs w:val="18"/>
                      </w:rPr>
                      <w:fldChar w:fldCharType="end"/>
                    </w:r>
                  </w:p>
                  <w:p w14:paraId="34BCF2E8" w14:textId="77777777" w:rsidR="00C75870" w:rsidRDefault="00C75870" w:rsidP="00343376">
                    <w:pPr>
                      <w:jc w:val="center"/>
                    </w:pPr>
                  </w:p>
                </w:txbxContent>
              </v:textbox>
            </v:rect>
          </w:pict>
        </mc:Fallback>
      </mc:AlternateContent>
    </w:r>
    <w:r w:rsidRPr="00070481">
      <w:rPr>
        <w:rFonts w:ascii="Arial" w:hAnsi="Arial" w:cs="Arial"/>
        <w:b/>
        <w:bCs/>
      </w:rPr>
      <w:drawing>
        <wp:inline distT="0" distB="0" distL="0" distR="0" wp14:anchorId="4DE65138" wp14:editId="17C6A2F2">
          <wp:extent cx="4663440" cy="182880"/>
          <wp:effectExtent l="0" t="0" r="3810" b="7620"/>
          <wp:docPr id="286" name="Picture 286"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29B827" w14:textId="77777777" w:rsidR="00C75870" w:rsidRPr="00343376" w:rsidRDefault="00C75870"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58592" behindDoc="0" locked="0" layoutInCell="1" allowOverlap="1" wp14:anchorId="3A65C9F9" wp14:editId="6E0227CD">
              <wp:simplePos x="0" y="0"/>
              <wp:positionH relativeFrom="margin">
                <wp:posOffset>2679065</wp:posOffset>
              </wp:positionH>
              <wp:positionV relativeFrom="paragraph">
                <wp:posOffset>-44450</wp:posOffset>
              </wp:positionV>
              <wp:extent cx="2001520" cy="257814"/>
              <wp:effectExtent l="0" t="0" r="0" b="0"/>
              <wp:wrapNone/>
              <wp:docPr id="4" name="Rectangle 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9FC3EB" w14:textId="77777777" w:rsidR="00C75870" w:rsidRPr="003E7351" w:rsidRDefault="00C75870" w:rsidP="00DB1250">
                          <w:pPr>
                            <w:pStyle w:val="Header"/>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Summary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A65C9F9" id="Rectangle 4" o:spid="_x0000_s1039" style="position:absolute;left:0;text-align:left;margin-left:210.95pt;margin-top:-3.5pt;width:157.6pt;height:20.3pt;z-index:2517585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HHujAIAAG8FAAAOAAAAZHJzL2Uyb0RvYy54bWysVN9P2zAQfp+0/8Hy+0hTtQMqUlSBmCYh&#10;QJSJZ9exm0iOz7PdJt1fvzsnDQzQHqb1IbV9d9/9+u4uLrvGsL3yoQZb8PxkwpmyEsrabgv+4+nm&#10;yxlnIQpbCgNWFfygAr9cfv500bqFmkIFplSeIYgNi9YVvIrRLbIsyEo1IpyAUxaFGnwjIl79Niu9&#10;aBG9Mdl0MvmateBL50GqEPD1uhfyZcLXWsl4r3VQkZmCY2wxfX36buibLS/EYuuFq2o5hCH+IYpG&#10;1BadjlDXIgq28/U7qKaWHgLoeCKhyUDrWqqUA2aTT95ks66EUykXLE5wY5nC/4OVd/sHz+qy4DPO&#10;rGiwRY9YNGG3RrEZlad1YYFaa/fgh1vAI+Xaad/QP2bBulTSw1hS1UUm8RF7lM+nWHmJsun89CxP&#10;oNmLtfMhflPQMDoU3KP3VEmxvw0RPaLqUYWcWbipjUltM/aPB1Skl4wC7kNMp3gwivSMfVQaM6Wg&#10;koPEMXVlPNsLZIeQUtmY96JKlKp/nk/wR3VA+NEi3RIgIWsMaMQeAIi/77F7mEGfTFWi6Gg8+Vtg&#10;vfFokTyDjaNxU1vwHwEYzGrw3Osfi9SXhqoUu02XWJBPjz3fQHlAanjoZyY4eVNjh25FiA/C45Bg&#10;U3Hw4z1+tIG24DCcOKvA//ronfSRuyjlrMWhK3j4uRNecWa+W2T1eT6b0ZSmy2x+SsTxryWb1xK7&#10;a64AO5fjinEyHUk/muOr9tA8435YkVcUCSvRd8Fl9MfLVeyXAW4YqVarpIaT6US8tWsnCZwKTQx8&#10;6p6FdwNNIxL8Do4DKhZv2NrrkqWF1S6CrhOVqdR9XYcW4FQnLg0biNbG63vSetmTy98AAAD//wMA&#10;UEsDBBQABgAIAAAAIQAPZH+z3wAAAAkBAAAPAAAAZHJzL2Rvd25yZXYueG1sTI9BT4NAEIXvJv6H&#10;zZh4axdKUxQZGmLUpEeLifG2sCOg7Cxht5T+e9eTHifz5b3v5fvFDGKmyfWWEeJ1BIK4sbrnFuGt&#10;el7dgXBesVaDZUK4kIN9cX2Vq0zbM7/SfPStCCHsMoXQeT9mUrqmI6Pc2o7E4fdpJ6N8OKdW6kmd&#10;Q7gZ5CaKdtKonkNDp0Z67Kj5Pp4MgqvnQ3UZy/evD9fU5RObant4Qby9WcoHEJ4W/wfDr35QhyI4&#10;1fbE2okBYbuJ7wOKsErDpgCkSRqDqBGSZAeyyOX/BcUPAAAA//8DAFBLAQItABQABgAIAAAAIQC2&#10;gziS/gAAAOEBAAATAAAAAAAAAAAAAAAAAAAAAABbQ29udGVudF9UeXBlc10ueG1sUEsBAi0AFAAG&#10;AAgAAAAhADj9If/WAAAAlAEAAAsAAAAAAAAAAAAAAAAALwEAAF9yZWxzLy5yZWxzUEsBAi0AFAAG&#10;AAgAAAAhACdgce6MAgAAbwUAAA4AAAAAAAAAAAAAAAAALgIAAGRycy9lMm9Eb2MueG1sUEsBAi0A&#10;FAAGAAgAAAAhAA9kf7PfAAAACQEAAA8AAAAAAAAAAAAAAAAA5gQAAGRycy9kb3ducmV2LnhtbFBL&#10;BQYAAAAABAAEAPMAAADyBQAAAAA=&#10;" filled="f" stroked="f" strokeweight="2pt">
              <v:textbox>
                <w:txbxContent>
                  <w:p w14:paraId="7E9FC3EB" w14:textId="77777777" w:rsidR="00C75870" w:rsidRPr="003E7351" w:rsidRDefault="00C75870" w:rsidP="00DB1250">
                    <w:pPr>
                      <w:pStyle w:val="Header"/>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Summary</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35040" behindDoc="0" locked="0" layoutInCell="1" allowOverlap="1" wp14:anchorId="63BDD536" wp14:editId="04A96EA2">
              <wp:simplePos x="0" y="0"/>
              <wp:positionH relativeFrom="margin">
                <wp:posOffset>-44202</wp:posOffset>
              </wp:positionH>
              <wp:positionV relativeFrom="paragraph">
                <wp:posOffset>-43815</wp:posOffset>
              </wp:positionV>
              <wp:extent cx="2584147" cy="318052"/>
              <wp:effectExtent l="0" t="0" r="0" b="0"/>
              <wp:wrapNone/>
              <wp:docPr id="38" name="Rectangle 38"/>
              <wp:cNvGraphicFramePr/>
              <a:graphic xmlns:a="http://schemas.openxmlformats.org/drawingml/2006/main">
                <a:graphicData uri="http://schemas.microsoft.com/office/word/2010/wordprocessingShape">
                  <wps:wsp>
                    <wps:cNvSpPr/>
                    <wps:spPr>
                      <a:xfrm>
                        <a:off x="0" y="0"/>
                        <a:ext cx="2584147" cy="31805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8E8249" w14:textId="77777777" w:rsidR="00C75870" w:rsidRPr="003E7351" w:rsidRDefault="00C75870" w:rsidP="00F42E18">
                          <w:pPr>
                            <w:jc w:val="right"/>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Palestinians in the 1948 Territories</w:t>
                          </w:r>
                        </w:p>
                        <w:p w14:paraId="5F292D58" w14:textId="77777777" w:rsidR="00C75870" w:rsidRPr="00CC3DE0" w:rsidRDefault="00C75870" w:rsidP="00CC3DE0">
                          <w:pPr>
                            <w:jc w:val="right"/>
                            <w:rPr>
                              <w:color w:val="000000" w:themeColor="text1"/>
                              <w:sz w:val="14"/>
                              <w:szCs w:val="14"/>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BDD536" id="Rectangle 38" o:spid="_x0000_s1040" style="position:absolute;left:0;text-align:left;margin-left:-3.5pt;margin-top:-3.45pt;width:203.5pt;height:25.05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q8jQIAAHEFAAAOAAAAZHJzL2Uyb0RvYy54bWysVFtP2zAUfp+0/2D5fSQp7YCIFFUgpkkI&#10;EDDx7Dp2E8n28Wy3Sffrd+ykgQHaw7Q+pPa5fOfi75zzi14rshPOt2AqWhzllAjDoW7NpqI/nq6/&#10;nFLiAzM1U2BERffC04vl50/nnS3FDBpQtXAEQYwvO1vRJgRbZpnnjdDMH4EVBpUSnGYBr26T1Y51&#10;iK5VNsvzr1kHrrYOuPAepVeDki4TvpSChzspvQhEVRRzC+nr0ncdv9nynJUbx2zT8jEN9g9ZaNYa&#10;DDpBXbHAyNa176B0yx14kOGIg85AypaLVANWU+RvqnlsmBWpFmyOt1Ob/P+D5be7e0fauqLH+FKG&#10;aXyjB+waMxslCMqwQZ31Jdo92ns33jweY7W9dDr+Yx2kT03dT00VfSAchbPF6byYn1DCUXdcnOaL&#10;WQTNXryt8+GbAE3ioaIOw6dest2ND4PpwSQGM3DdKoVyVirzhwAxoySLCQ8pplPYKzFYPwiJtcak&#10;UoDEMnGpHNkx5AfjXJhQDKqG1WIQL3L8jSlPHqkAZRAwIktMaMIeASKD32MP5Yz20VUkkk7O+d8S&#10;G5wnjxQZTJicdWvAfQSgsKox8mB/aNLQmtil0K/7xIPiOJpG0RrqPZLDwTA13vLrFl/ohvlwzxyO&#10;CQ4Ujn64w49U0FUUxhMlDbhfH8mjPbIXtZR0OHYV9T+3zAlK1HeDvD4r5vM4p+kyX5zM8OJea9av&#10;NWarLwFfrsAlY3k6RvugDlLpQD/jhljFqKhihmPsivLgDpfLMKwD3DFcrFbJDGfTsnBjHi2P4LHR&#10;kYFP/TNzdqRpQILfwmFEWfmGrYNt9DSw2gaQbaLyS1/HJ8C5Tlwad1BcHK/vyeplUy5/AwAA//8D&#10;AFBLAwQUAAYACAAAACEALhLjDd0AAAAIAQAADwAAAGRycy9kb3ducmV2LnhtbEyPzU7DMBCE70i8&#10;g7WVuLV2S1UgxKkiBEg90iAhbk68JIF4HcVumr4921N72p9ZzX6TbifXiRGH0HrSsFwoEEiVty3V&#10;Gj6Lt/kjiBANWdN5Qg0nDLDNbm9Sk1h/pA8c97EWbEIhMRqaGPtEylA16ExY+B6JtR8/OBN5HGpp&#10;B3Nkc9fJlVIb6UxL/KExPb40WP3tD05DKMddcerzr9/vUJX5K7livXvX+m425c8gIk7xcgxnfEaH&#10;jJlKfyAbRKdh/sBRItfNEwjW10rxouTmfgUyS+V1gOwfAAD//wMAUEsBAi0AFAAGAAgAAAAhALaD&#10;OJL+AAAA4QEAABMAAAAAAAAAAAAAAAAAAAAAAFtDb250ZW50X1R5cGVzXS54bWxQSwECLQAUAAYA&#10;CAAAACEAOP0h/9YAAACUAQAACwAAAAAAAAAAAAAAAAAvAQAAX3JlbHMvLnJlbHNQSwECLQAUAAYA&#10;CAAAACEA/qt6vI0CAABxBQAADgAAAAAAAAAAAAAAAAAuAgAAZHJzL2Uyb0RvYy54bWxQSwECLQAU&#10;AAYACAAAACEALhLjDd0AAAAIAQAADwAAAAAAAAAAAAAAAADnBAAAZHJzL2Rvd25yZXYueG1sUEsF&#10;BgAAAAAEAAQA8wAAAPEFAAAAAA==&#10;" filled="f" stroked="f" strokeweight="2pt">
              <v:textbox>
                <w:txbxContent>
                  <w:p w14:paraId="7D8E8249" w14:textId="77777777" w:rsidR="00C75870" w:rsidRPr="003E7351" w:rsidRDefault="00C75870" w:rsidP="00F42E18">
                    <w:pPr>
                      <w:jc w:val="right"/>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Palestinians in the 1948 Territories</w:t>
                    </w:r>
                  </w:p>
                  <w:p w14:paraId="5F292D58" w14:textId="77777777" w:rsidR="00C75870" w:rsidRPr="00CC3DE0" w:rsidRDefault="00C75870" w:rsidP="00CC3DE0">
                    <w:pPr>
                      <w:jc w:val="right"/>
                      <w:rPr>
                        <w:color w:val="000000" w:themeColor="text1"/>
                        <w:sz w:val="14"/>
                        <w:szCs w:val="14"/>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32992" behindDoc="0" locked="0" layoutInCell="1" allowOverlap="1" wp14:anchorId="7305F38C" wp14:editId="465D32A0">
              <wp:simplePos x="0" y="0"/>
              <wp:positionH relativeFrom="column">
                <wp:posOffset>2096135</wp:posOffset>
              </wp:positionH>
              <wp:positionV relativeFrom="paragraph">
                <wp:posOffset>-33655</wp:posOffset>
              </wp:positionV>
              <wp:extent cx="488054" cy="257814"/>
              <wp:effectExtent l="0" t="0" r="0" b="0"/>
              <wp:wrapNone/>
              <wp:docPr id="40" name="Rectangle 4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5EE70C" w14:textId="32174D20"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C607D">
                            <w:rPr>
                              <w:b/>
                              <w:bCs/>
                              <w:color w:val="FFFFFF" w:themeColor="background1"/>
                              <w:sz w:val="18"/>
                              <w:szCs w:val="18"/>
                              <w:rtl/>
                            </w:rPr>
                            <w:t>44</w:t>
                          </w:r>
                          <w:r w:rsidRPr="00AE382B">
                            <w:rPr>
                              <w:b/>
                              <w:bCs/>
                              <w:color w:val="FFFFFF" w:themeColor="background1"/>
                              <w:sz w:val="18"/>
                              <w:szCs w:val="18"/>
                            </w:rPr>
                            <w:fldChar w:fldCharType="end"/>
                          </w:r>
                        </w:p>
                        <w:p w14:paraId="0DD26418" w14:textId="77777777" w:rsidR="00C75870" w:rsidRDefault="00C75870"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305F38C" id="Rectangle 40" o:spid="_x0000_s1041" style="position:absolute;left:0;text-align:left;margin-left:165.05pt;margin-top:-2.65pt;width:38.45pt;height:20.3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oPNiwIAAHAFAAAOAAAAZHJzL2Uyb0RvYy54bWysVFtP2zAUfp+0/2D5fSSt2lGipqgqYpqE&#10;AAETz65jN5EcH892m3S/fsd2GhigPUzrQ2qfy3cu/s5ZXvatIgdhXQO6pJOznBKhOVSN3pX0x9P1&#10;lwUlzjNdMQValPQoHL1cff607EwhplCDqoQlCKJd0ZmS1t6bIsscr0XL3BkYoVEpwbbM49Xussqy&#10;DtFblU3z/GvWga2MBS6cQ+lVUtJVxJdScH8npROeqJJibj5+bfxuwzdbLVmxs8zUDR/SYP+QRcsa&#10;jUFHqCvmGdnb5h1U23ALDqQ/49BmIGXDRawBq5nkb6p5rJkRsRZsjjNjm9z/g+W3h3tLmqqkM2yP&#10;Zi2+0QN2jemdEgRl2KDOuALtHs29HW4Oj6HaXto2/GMdpI9NPY5NFb0nHIWzxSKfzyjhqJrOzxeT&#10;WcDMXpyNdf6bgJaEQ0ktRo+tZIcb55PpySTE0nDdKIVyVij9hwAxgyQL+aYM48kflUjWD0JiqZjT&#10;NAaIJBMbZcmBIT0Y50L7SVLVrBJJPM/xN6Q8esQClEbAgCwxoRF7AAgEfo+dyhnsg6uIHB2d878l&#10;lpxHjxgZtB+d20aD/QhAYVVD5GR/alJqTeiS77d9pEF6niDaQnVEblhIQ+MMv27whW6Y8/fM4pQg&#10;YXDy/R1+pIKupDCcKKnB/vpIHuyRvKilpMOpK6n7uWdWUKK+a6T1xWQWeOjjZTY/n+LFvtZsX2v0&#10;vt0AvtwEd4zh8RjsvTpJpYX2GRfEOkRFFdMcY5eUe3u6bHzaBrhiuFivoxmOpmH+Rj8aHsBDowMD&#10;n/pnZs1AU4/8voXThLLiDVuTbfDUsN57kE2k8ktfhyfAsY5cGlZQ2Buv79HqZVGufgMAAP//AwBQ&#10;SwMEFAAGAAgAAAAhACAy86vdAAAACQEAAA8AAABkcnMvZG93bnJldi54bWxMj8FOwzAQRO9I/IO1&#10;SNxau6RAFeJUEQKkHmmQUG9OvCSBeB3Fbpr+PcuJHnfmaXYm286uFxOOofOkYbVUIJBqbztqNHyU&#10;r4sNiBANWdN7Qg1nDLDNr68yk1p/onec9rERHEIhNRraGIdUylC36ExY+gGJvS8/OhP5HBtpR3Pi&#10;cNfLO6UepDMd8YfWDPjcYv2zPzoNoZp25XkoPr8Poa6KF3Llevem9e3NXDyBiDjHfxj+6nN1yLlT&#10;5Y9kg+g1JIlaMaphcZ+AYGCtHnlcxQ4LMs/k5YL8FwAA//8DAFBLAQItABQABgAIAAAAIQC2gziS&#10;/gAAAOEBAAATAAAAAAAAAAAAAAAAAAAAAABbQ29udGVudF9UeXBlc10ueG1sUEsBAi0AFAAGAAgA&#10;AAAhADj9If/WAAAAlAEAAAsAAAAAAAAAAAAAAAAALwEAAF9yZWxzLy5yZWxzUEsBAi0AFAAGAAgA&#10;AAAhAE++g82LAgAAcAUAAA4AAAAAAAAAAAAAAAAALgIAAGRycy9lMm9Eb2MueG1sUEsBAi0AFAAG&#10;AAgAAAAhACAy86vdAAAACQEAAA8AAAAAAAAAAAAAAAAA5QQAAGRycy9kb3ducmV2LnhtbFBLBQYA&#10;AAAABAAEAPMAAADvBQAAAAA=&#10;" filled="f" stroked="f" strokeweight="2pt">
              <v:textbox>
                <w:txbxContent>
                  <w:p w14:paraId="025EE70C" w14:textId="32174D20"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C607D">
                      <w:rPr>
                        <w:b/>
                        <w:bCs/>
                        <w:color w:val="FFFFFF" w:themeColor="background1"/>
                        <w:sz w:val="18"/>
                        <w:szCs w:val="18"/>
                        <w:rtl/>
                      </w:rPr>
                      <w:t>44</w:t>
                    </w:r>
                    <w:r w:rsidRPr="00AE382B">
                      <w:rPr>
                        <w:b/>
                        <w:bCs/>
                        <w:color w:val="FFFFFF" w:themeColor="background1"/>
                        <w:sz w:val="18"/>
                        <w:szCs w:val="18"/>
                      </w:rPr>
                      <w:fldChar w:fldCharType="end"/>
                    </w:r>
                  </w:p>
                  <w:p w14:paraId="0DD26418" w14:textId="77777777" w:rsidR="00C75870" w:rsidRDefault="00C75870" w:rsidP="00343376">
                    <w:pPr>
                      <w:jc w:val="center"/>
                    </w:pPr>
                  </w:p>
                </w:txbxContent>
              </v:textbox>
            </v:rect>
          </w:pict>
        </mc:Fallback>
      </mc:AlternateContent>
    </w:r>
    <w:r w:rsidRPr="00070481">
      <w:rPr>
        <w:rFonts w:ascii="Arial" w:hAnsi="Arial" w:cs="Arial"/>
        <w:b/>
        <w:bCs/>
      </w:rPr>
      <w:drawing>
        <wp:inline distT="0" distB="0" distL="0" distR="0" wp14:anchorId="006C0C34" wp14:editId="4C1CE5D4">
          <wp:extent cx="4663440" cy="182880"/>
          <wp:effectExtent l="0" t="0" r="3810" b="7620"/>
          <wp:docPr id="227" name="Picture 22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5C25A0" w14:textId="77777777" w:rsidR="00C75870" w:rsidRPr="00CF57AE" w:rsidRDefault="00C75870" w:rsidP="00CF57AE">
    <w:pPr>
      <w:pStyle w:val="Footer"/>
      <w:jc w:val="right"/>
      <w:rPr>
        <w:rFonts w:ascii="Simplified Arabic" w:hAnsi="Simplified Arabic" w:cs="Simplified Arabic"/>
        <w:b/>
        <w:bCs/>
        <w:sz w:val="16"/>
        <w:szCs w:val="16"/>
      </w:rPr>
    </w:pPr>
    <w:r w:rsidRPr="00FD1288">
      <w:rPr>
        <w:rFonts w:ascii="Simplified Arabic" w:hAnsi="Simplified Arabic" w:cs="Simplified Arabic"/>
        <w:b/>
        <w:bCs/>
        <w:sz w:val="16"/>
        <w:szCs w:val="16"/>
      </w:rPr>
      <w:drawing>
        <wp:anchor distT="0" distB="0" distL="114300" distR="114300" simplePos="0" relativeHeight="251681792" behindDoc="1" locked="0" layoutInCell="1" allowOverlap="1" wp14:anchorId="0BA9E60A" wp14:editId="0FEABB6B">
          <wp:simplePos x="0" y="0"/>
          <wp:positionH relativeFrom="margin">
            <wp:posOffset>-402259</wp:posOffset>
          </wp:positionH>
          <wp:positionV relativeFrom="paragraph">
            <wp:posOffset>-49530</wp:posOffset>
          </wp:positionV>
          <wp:extent cx="5332667" cy="276045"/>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FD1288">
      <w:rPr>
        <w:rFonts w:ascii="Simplified Arabic" w:hAnsi="Simplified Arabic" w:cs="Simplified Arabic"/>
        <w:b/>
        <w:bCs/>
        <w:sz w:val="16"/>
        <w:szCs w:val="16"/>
      </w:rPr>
      <w:t xml:space="preserve">                   </w:t>
    </w:r>
    <w:r w:rsidRPr="00FD1288">
      <w:rPr>
        <w:rFonts w:ascii="Simplified Arabic" w:hAnsi="Simplified Arabic" w:cs="Simplified Arabic" w:hint="cs"/>
        <w:b/>
        <w:bCs/>
        <w:sz w:val="16"/>
        <w:szCs w:val="16"/>
        <w:rtl/>
      </w:rPr>
      <w:t xml:space="preserve">           </w:t>
    </w:r>
    <w:r w:rsidRPr="00FD1288">
      <w:rPr>
        <w:rFonts w:ascii="Simplified Arabic" w:hAnsi="Simplified Arabic" w:cs="Simplified Arabic"/>
        <w:b/>
        <w:bCs/>
        <w:sz w:val="16"/>
        <w:szCs w:val="16"/>
      </w:rPr>
      <w:t xml:space="preserve">                           </w:t>
    </w:r>
    <w:r w:rsidRPr="00FD1288">
      <w:rPr>
        <w:rFonts w:ascii="Simplified Arabic" w:hAnsi="Simplified Arabic" w:cs="Simplified Arabic" w:hint="cs"/>
        <w:b/>
        <w:bCs/>
        <w:sz w:val="16"/>
        <w:szCs w:val="16"/>
        <w:rtl/>
      </w:rPr>
      <w:t xml:space="preserve">           </w:t>
    </w:r>
    <w:r w:rsidRPr="00CF57AE">
      <w:rPr>
        <w:sz w:val="16"/>
        <w:szCs w:val="16"/>
      </w:rPr>
      <w:t>References</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6FEFE3" w14:textId="77777777" w:rsidR="00C75870" w:rsidRPr="00343376" w:rsidRDefault="00C75870"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56544" behindDoc="0" locked="0" layoutInCell="1" allowOverlap="1" wp14:anchorId="3B24AAAC" wp14:editId="08B4682C">
              <wp:simplePos x="0" y="0"/>
              <wp:positionH relativeFrom="margin">
                <wp:posOffset>2679065</wp:posOffset>
              </wp:positionH>
              <wp:positionV relativeFrom="paragraph">
                <wp:posOffset>-44450</wp:posOffset>
              </wp:positionV>
              <wp:extent cx="2001520" cy="257814"/>
              <wp:effectExtent l="0" t="0" r="0" b="0"/>
              <wp:wrapNone/>
              <wp:docPr id="1" name="Rectangle 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7D349BE" w14:textId="77777777" w:rsidR="00C75870" w:rsidRPr="003E7351" w:rsidRDefault="00C75870" w:rsidP="00775B1C">
                          <w:pPr>
                            <w:pStyle w:val="Header"/>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Summary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B24AAAC" id="Rectangle 1" o:spid="_x0000_s1042" style="position:absolute;left:0;text-align:left;margin-left:210.95pt;margin-top:-3.5pt;width:157.6pt;height:20.3pt;z-index:2517565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1TjiAIAAG8FAAAOAAAAZHJzL2Uyb0RvYy54bWysVFtP2zAUfp+0/2D5faSp2sEiUlSBmCYh&#10;hoCJZ9exm0i2j2e7Tbpfv2M7DQzQHqb1IbXP5Tu37/j8YtCK7IXzHZialiczSoTh0HRmW9Mfj9ef&#10;zijxgZmGKTCipgfh6cXq44fz3lZiDi2oRjiCIMZXva1pG4KtisLzVmjmT8AKg0oJTrOAV7ctGsd6&#10;RNeqmM9mn4seXGMdcOE9Sq+ykq4SvpSCh+9SehGIqinmFtLXpe8mfovVOau2jtm242Ma7B+y0Kwz&#10;GHSCumKBkZ3r3kDpjjvwIMMJB12AlB0XqQasppy9quahZVakWrA53k5t8v8Plt/u7xzpGpwdJYZp&#10;HNE9No2ZrRKkjO3pra/Q6sHeufHm8RhrHaTT8R+rIENq6WFqqRgC4SjEGZXLOXaeo26+PD0rFxG0&#10;ePa2zoevAjSJh5o6jJ46yfY3PmTTo0kMZuC6UwrlrFLmDwFiRkkRE84pplM4KJGt74XESmNSKUDi&#10;mLhUjuwZsoNxLkwos6pljcji5Qx/Y8qTRypAGQSMyBITmrBHgMjft9i5nNE+uopE0cl59rfEsvPk&#10;kSKDCZOz7gy49wAUVjVGzvbHJuXWxC6FYTNkFiyjaRRtoDkgNRzknfGWX3c4oRvmwx1zuCQ4VFz8&#10;8B0/UkFfUxhPlLTgfr0nj/bIXdRS0uPS1dT/3DEnKFHfDLL6S7lYxC1Nl8XyNBLHvdRsXmrMTl8C&#10;Tg6Zi9mlY7QP6iiVDvQTvg/rGBVVzHCMXVMe3PFyGfJjgC8MF+t1MsPNtCzcmAfLI3hsdGTg4/DE&#10;nB1pGpDgt3BcUFa9Ymu2jZ4G1rsAsktUfu7rOALc6sSl8QWKz8bLe7J6fidXvwEAAP//AwBQSwME&#10;FAAGAAgAAAAhAA9kf7PfAAAACQEAAA8AAABkcnMvZG93bnJldi54bWxMj0FPg0AQhe8m/ofNmHhr&#10;F0pTFBkaYtSkR4uJ8bawI6DsLGG3lP5715MeJ/Plve/l+8UMYqbJ9ZYR4nUEgrixuucW4a16Xt2B&#10;cF6xVoNlQriQg31xfZWrTNszv9J89K0IIewyhdB5P2ZSuqYjo9zajsTh92kno3w4p1bqSZ1DuBnk&#10;Jop20qieQ0OnRnrsqPk+ngyCq+dDdRnL968P19TlE5tqe3hBvL1ZygcQnhb/B8OvflCHIjjV9sTa&#10;iQFhu4nvA4qwSsOmAKRJGoOoEZJkB7LI5f8FxQ8AAAD//wMAUEsBAi0AFAAGAAgAAAAhALaDOJL+&#10;AAAA4QEAABMAAAAAAAAAAAAAAAAAAAAAAFtDb250ZW50X1R5cGVzXS54bWxQSwECLQAUAAYACAAA&#10;ACEAOP0h/9YAAACUAQAACwAAAAAAAAAAAAAAAAAvAQAAX3JlbHMvLnJlbHNQSwECLQAUAAYACAAA&#10;ACEAvJdU44gCAABvBQAADgAAAAAAAAAAAAAAAAAuAgAAZHJzL2Uyb0RvYy54bWxQSwECLQAUAAYA&#10;CAAAACEAD2R/s98AAAAJAQAADwAAAAAAAAAAAAAAAADiBAAAZHJzL2Rvd25yZXYueG1sUEsFBgAA&#10;AAAEAAQA8wAAAO4FAAAAAA==&#10;" filled="f" stroked="f" strokeweight="2pt">
              <v:textbox>
                <w:txbxContent>
                  <w:p w14:paraId="27D349BE" w14:textId="77777777" w:rsidR="00C75870" w:rsidRPr="003E7351" w:rsidRDefault="00C75870" w:rsidP="00775B1C">
                    <w:pPr>
                      <w:pStyle w:val="Header"/>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Summary</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50400" behindDoc="0" locked="0" layoutInCell="1" allowOverlap="1" wp14:anchorId="0C0D11BE" wp14:editId="6C6E4A83">
              <wp:simplePos x="0" y="0"/>
              <wp:positionH relativeFrom="margin">
                <wp:posOffset>-12010</wp:posOffset>
              </wp:positionH>
              <wp:positionV relativeFrom="paragraph">
                <wp:posOffset>-75620</wp:posOffset>
              </wp:positionV>
              <wp:extent cx="2584147" cy="318052"/>
              <wp:effectExtent l="0" t="0" r="0" b="0"/>
              <wp:wrapNone/>
              <wp:docPr id="232" name="Rectangle 232"/>
              <wp:cNvGraphicFramePr/>
              <a:graphic xmlns:a="http://schemas.openxmlformats.org/drawingml/2006/main">
                <a:graphicData uri="http://schemas.microsoft.com/office/word/2010/wordprocessingShape">
                  <wps:wsp>
                    <wps:cNvSpPr/>
                    <wps:spPr>
                      <a:xfrm>
                        <a:off x="0" y="0"/>
                        <a:ext cx="2584147" cy="31805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1BEE6A2" w14:textId="77777777" w:rsidR="00C75870" w:rsidRPr="003E7351" w:rsidRDefault="00C75870" w:rsidP="00CC3DE0">
                          <w:pPr>
                            <w:jc w:val="right"/>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Palestinian in Dispora</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0D11BE" id="Rectangle 232" o:spid="_x0000_s1043" style="position:absolute;left:0;text-align:left;margin-left:-.95pt;margin-top:-5.95pt;width:203.5pt;height:25.05pt;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caxkAIAAHMFAAAOAAAAZHJzL2Uyb0RvYy54bWysVFtP2zAUfp+0/2D5fSQpLbCKFFVFnSYh&#10;QMDEs+vYTSTbx7PdJt2v37GTBgZoD9P6kNrn8p2Lv3MurzqtyF4434ApaXGSUyIMh6ox25L+eFp/&#10;uaDEB2YqpsCIkh6Ep1eLz58uWzsXE6hBVcIRBDF+3tqS1iHYeZZ5XgvN/AlYYVApwWkW8Oq2WeVY&#10;i+haZZM8P8tacJV1wIX3KL3ulXSR8KUUPNxJ6UUgqqSYW0hfl76b+M0Wl2y+dczWDR/SYP+QhWaN&#10;waAj1DULjOxc8w5KN9yBBxlOOOgMpGy4SDVgNUX+pprHmlmRasHmeDu2yf8/WH67v3ekqUo6OZ1Q&#10;YpjGR3rAtjGzVYJEIbaotX6Olo/23g03j8dYbyedjv9YCelSWw9jW0UXCEfhZHYxLabnlHDUnRYX&#10;+SyBZi/e1vnwTYAm8VBSh/FTN9n+xgeMiKZHkxjMwLpRKj2dMn8I0DBKsphwn2I6hYMS0U6ZByGx&#10;2phUCpB4JlbKkT1DhjDOhQlFr6pZJXrxLMdf7APCjx7plgAjssSERuwBIHL4PXYPM9hHV5FoOjrn&#10;f0usdx49UmQwYXTWjQH3EYDCqobIvf2xSX1rYpdCt+kSE4qz45tvoDogPRz0c+MtXzf4QjfMh3vm&#10;cFBwpHD4wx1+pIK2pDCcKKnB/fpIHu2Rv6ilpMXBK6n/uWNOUKK+G2T212I6jZOaLtPZ+QQv7rVm&#10;81pjdnoF+HIFrhnL0zHaB3WUSgf6GXfEMkZFFTMcY5eUB3e8rEK/EHDLcLFcJjOcTsvCjXm0PILH&#10;RkcGPnXPzNmBpgEJfgvHIWXzN2ztbaOngeUugGwSlWOr+74OT4CTnbg0bKG4Ol7fk9XLrlz8BgAA&#10;//8DAFBLAwQUAAYACAAAACEA2GCfgt0AAAAJAQAADwAAAGRycy9kb3ducmV2LnhtbEyPwU7DMAyG&#10;70i8Q2QkblvaMdDWNZ0qBEg7siIhbmlj2kLjVHXWdW9PemIn2/Kn35/T/WQ7MeLArSMF8TICgVQ5&#10;01Kt4KN4XWxAsNdkdOcIFVyQYZ/d3qQ6Me5M7zgefS1CCHGiFTTe94mUXDVoNS9djxR2326w2odx&#10;qKUZ9DmE206uouhJWt1SuNDoHp8brH6PJ6uAy/FQXPr88+eLqzJ/IVusD29K3d9N+Q6Ex8n/wzDr&#10;B3XIglPpTmRYdAoW8TaQc52bAKyjxxhEqeBhswKZpfL6g+wPAAD//wMAUEsBAi0AFAAGAAgAAAAh&#10;ALaDOJL+AAAA4QEAABMAAAAAAAAAAAAAAAAAAAAAAFtDb250ZW50X1R5cGVzXS54bWxQSwECLQAU&#10;AAYACAAAACEAOP0h/9YAAACUAQAACwAAAAAAAAAAAAAAAAAvAQAAX3JlbHMvLnJlbHNQSwECLQAU&#10;AAYACAAAACEAl23GsZACAABzBQAADgAAAAAAAAAAAAAAAAAuAgAAZHJzL2Uyb0RvYy54bWxQSwEC&#10;LQAUAAYACAAAACEA2GCfgt0AAAAJAQAADwAAAAAAAAAAAAAAAADqBAAAZHJzL2Rvd25yZXYueG1s&#10;UEsFBgAAAAAEAAQA8wAAAPQFAAAAAA==&#10;" filled="f" stroked="f" strokeweight="2pt">
              <v:textbox>
                <w:txbxContent>
                  <w:p w14:paraId="51BEE6A2" w14:textId="77777777" w:rsidR="00C75870" w:rsidRPr="003E7351" w:rsidRDefault="00C75870" w:rsidP="00CC3DE0">
                    <w:pPr>
                      <w:jc w:val="right"/>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Palestinian in Dispora</w:t>
                    </w: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48352" behindDoc="0" locked="0" layoutInCell="1" allowOverlap="1" wp14:anchorId="5E2D6F09" wp14:editId="10099865">
              <wp:simplePos x="0" y="0"/>
              <wp:positionH relativeFrom="column">
                <wp:posOffset>2096135</wp:posOffset>
              </wp:positionH>
              <wp:positionV relativeFrom="paragraph">
                <wp:posOffset>-33655</wp:posOffset>
              </wp:positionV>
              <wp:extent cx="488054" cy="257814"/>
              <wp:effectExtent l="0" t="0" r="0" b="0"/>
              <wp:wrapNone/>
              <wp:docPr id="234" name="Rectangle 23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F20F87" w14:textId="042C9C22"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C607D">
                            <w:rPr>
                              <w:b/>
                              <w:bCs/>
                              <w:color w:val="FFFFFF" w:themeColor="background1"/>
                              <w:sz w:val="18"/>
                              <w:szCs w:val="18"/>
                              <w:rtl/>
                            </w:rPr>
                            <w:t>46</w:t>
                          </w:r>
                          <w:r w:rsidRPr="00AE382B">
                            <w:rPr>
                              <w:b/>
                              <w:bCs/>
                              <w:color w:val="FFFFFF" w:themeColor="background1"/>
                              <w:sz w:val="18"/>
                              <w:szCs w:val="18"/>
                            </w:rPr>
                            <w:fldChar w:fldCharType="end"/>
                          </w:r>
                        </w:p>
                        <w:p w14:paraId="0B4A6C29" w14:textId="77777777" w:rsidR="00C75870" w:rsidRDefault="00C75870"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E2D6F09" id="Rectangle 234" o:spid="_x0000_s1044" style="position:absolute;left:0;text-align:left;margin-left:165.05pt;margin-top:-2.65pt;width:38.45pt;height:20.3pt;z-index:251748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9BokAIAAHIFAAAOAAAAZHJzL2Uyb0RvYy54bWysVFtP2zAUfp+0/2D5fSTp2tFVpKgq6jQJ&#10;AQImnl3HbiLZPp7tNul+/Y6dNDBAe5jWh9Q+l+9c/J1zcdlpRQ7C+QZMSYuznBJhOFSN2ZX0x+Pm&#10;05wSH5ipmAIjSnoUnl4uP364aO1CTKAGVQlHEMT4RWtLWodgF1nmeS0082dghUGlBKdZwKvbZZVj&#10;LaJrlU3y/EvWgqusAy68R+lVr6TLhC+l4OFWSi8CUSXF3EL6uvTdxm+2vGCLnWO2bviQBvuHLDRr&#10;DAYdoa5YYGTvmjdQuuEOPMhwxkFnIGXDRaoBqynyV9U81MyKVAs2x9uxTf7/wfKbw50jTVXSyecp&#10;JYZpfKR7bBszOyVIFGKLWusXaPlg79xw83iM9XbS6fiPlZAutfU4tlV0gXAUTufzfIbgHFWT2fm8&#10;SJjZs7N1PnwToEk8lNRh+NRMdrj2AQOi6ckkxjKwaZRKL6fMHwI0jJIs5ttnmE7hqES0U+ZeSCwW&#10;c5qkAIlmYq0cOTAkCONcmFD0qppVohfPcvzFNiD86JFuCTAiS0xoxB4AIoXfYvcwg310FYmlo3P+&#10;t8R659EjRQYTRmfdGHDvASisaojc25+a1Lcmdil02y4RoTg/PfkWqiOyw0E/Nt7yTYMvdM18uGMO&#10;5wQnCmc/3OJHKmhLCsOJkhrcr/fk0R7pi1pKWpy7kvqfe+YEJeq7QWJ/LabTOKjpMp2dT/DiXmq2&#10;LzVmr9eAL1fglrE8HaN9UCepdKCfcEWsYlRUMcMxdkl5cKfLOvT7AJcMF6tVMsPhtCxcmwfLI3hs&#10;dGTgY/fEnB1oGpDfN3CaUbZ4xdbeNnoaWO0DyCZROba67+vwBDjYiUvDEoqb4+U9WT2vyuVvAAAA&#10;//8DAFBLAwQUAAYACAAAACEAIDLzq90AAAAJAQAADwAAAGRycy9kb3ducmV2LnhtbEyPwU7DMBBE&#10;70j8g7VI3Fq7pEAV4lQRAqQeaZBQb068JIF4HcVumv49y4ked+Zpdibbzq4XE46h86RhtVQgkGpv&#10;O2o0fJSviw2IEA1Z03tCDWcMsM2vrzKTWn+id5z2sREcQiE1GtoYh1TKULfoTFj6AYm9Lz86E/kc&#10;G2lHc+Jw18s7pR6kMx3xh9YM+Nxi/bM/Og2hmnbleSg+vw+hrooXcuV696b17c1cPIGIOMd/GP7q&#10;c3XIuVPlj2SD6DUkiVoxqmFxn4BgYK0eeVzFDgsyz+TlgvwXAAD//wMAUEsBAi0AFAAGAAgAAAAh&#10;ALaDOJL+AAAA4QEAABMAAAAAAAAAAAAAAAAAAAAAAFtDb250ZW50X1R5cGVzXS54bWxQSwECLQAU&#10;AAYACAAAACEAOP0h/9YAAACUAQAACwAAAAAAAAAAAAAAAAAvAQAAX3JlbHMvLnJlbHNQSwECLQAU&#10;AAYACAAAACEAYKvQaJACAAByBQAADgAAAAAAAAAAAAAAAAAuAgAAZHJzL2Uyb0RvYy54bWxQSwEC&#10;LQAUAAYACAAAACEAIDLzq90AAAAJAQAADwAAAAAAAAAAAAAAAADqBAAAZHJzL2Rvd25yZXYueG1s&#10;UEsFBgAAAAAEAAQA8wAAAPQFAAAAAA==&#10;" filled="f" stroked="f" strokeweight="2pt">
              <v:textbox>
                <w:txbxContent>
                  <w:p w14:paraId="32F20F87" w14:textId="042C9C22"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C607D">
                      <w:rPr>
                        <w:b/>
                        <w:bCs/>
                        <w:color w:val="FFFFFF" w:themeColor="background1"/>
                        <w:sz w:val="18"/>
                        <w:szCs w:val="18"/>
                        <w:rtl/>
                      </w:rPr>
                      <w:t>46</w:t>
                    </w:r>
                    <w:r w:rsidRPr="00AE382B">
                      <w:rPr>
                        <w:b/>
                        <w:bCs/>
                        <w:color w:val="FFFFFF" w:themeColor="background1"/>
                        <w:sz w:val="18"/>
                        <w:szCs w:val="18"/>
                      </w:rPr>
                      <w:fldChar w:fldCharType="end"/>
                    </w:r>
                  </w:p>
                  <w:p w14:paraId="0B4A6C29" w14:textId="77777777" w:rsidR="00C75870" w:rsidRDefault="00C75870" w:rsidP="00343376">
                    <w:pPr>
                      <w:jc w:val="center"/>
                    </w:pPr>
                  </w:p>
                </w:txbxContent>
              </v:textbox>
            </v:rect>
          </w:pict>
        </mc:Fallback>
      </mc:AlternateContent>
    </w:r>
    <w:r w:rsidRPr="00070481">
      <w:rPr>
        <w:rFonts w:ascii="Arial" w:hAnsi="Arial" w:cs="Arial"/>
        <w:b/>
        <w:bCs/>
      </w:rPr>
      <w:drawing>
        <wp:inline distT="0" distB="0" distL="0" distR="0" wp14:anchorId="5B281249" wp14:editId="2B52722E">
          <wp:extent cx="4663440" cy="182880"/>
          <wp:effectExtent l="0" t="0" r="3810" b="7620"/>
          <wp:docPr id="235" name="Picture 235"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B9CDEB" w14:textId="77777777" w:rsidR="00C75870" w:rsidRPr="00343376" w:rsidRDefault="00C75870"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54496" behindDoc="0" locked="0" layoutInCell="1" allowOverlap="1" wp14:anchorId="14F32BA0" wp14:editId="4FDD5597">
              <wp:simplePos x="0" y="0"/>
              <wp:positionH relativeFrom="margin">
                <wp:posOffset>-1049</wp:posOffset>
              </wp:positionH>
              <wp:positionV relativeFrom="paragraph">
                <wp:posOffset>-71644</wp:posOffset>
              </wp:positionV>
              <wp:extent cx="2584147" cy="318052"/>
              <wp:effectExtent l="0" t="0" r="0" b="0"/>
              <wp:wrapNone/>
              <wp:docPr id="236" name="Rectangle 236"/>
              <wp:cNvGraphicFramePr/>
              <a:graphic xmlns:a="http://schemas.openxmlformats.org/drawingml/2006/main">
                <a:graphicData uri="http://schemas.microsoft.com/office/word/2010/wordprocessingShape">
                  <wps:wsp>
                    <wps:cNvSpPr/>
                    <wps:spPr>
                      <a:xfrm>
                        <a:off x="0" y="0"/>
                        <a:ext cx="2584147" cy="31805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840BC7" w14:textId="77777777" w:rsidR="00C75870" w:rsidRPr="003E7351" w:rsidRDefault="00C75870" w:rsidP="00CC3DE0">
                          <w:pPr>
                            <w:jc w:val="right"/>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References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F32BA0" id="Rectangle 236" o:spid="_x0000_s1045" style="position:absolute;left:0;text-align:left;margin-left:-.1pt;margin-top:-5.65pt;width:203.5pt;height:25.05pt;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RX3jwIAAHMFAAAOAAAAZHJzL2Uyb0RvYy54bWysVFtP2zAUfp+0/2D5fSQpLXRRU1QVMU1C&#10;UAETz65jN5EcH892m3S/fsdOGhigPUzrg2ufy3cu+c5ZXHWNIgdhXQ26oNlZSonQHMpa7wr64+nm&#10;y5wS55kumQItCnoUjl4tP39atCYXE6hAlcISBNEub01BK+9NniSOV6Jh7gyM0KiUYBvm8Wl3SWlZ&#10;i+iNSiZpepG0YEtjgQvnUHrdK+ky4kspuL+X0glPVEExNx9PG89tOJPlguU7y0xV8yEN9g9ZNKzW&#10;GHSEumaekb2t30E1NbfgQPozDk0CUtZcxBqwmix9U81jxYyItWBznBnb5P4fLL87bCypy4JOzi8o&#10;0azBj/SAbWN6pwQJQmxRa1yOlo9mY4eXw2uot5O2Cf9YCeliW49jW0XnCUfhZDafZtNLSjjqzrN5&#10;OpsE0OTF21jnvwloSLgU1GL82E12uHW+Nz2ZhGAabmqlUM5ypf8QIGaQJCHhPsV480cleusHIbHa&#10;kFQMEHkm1sqSA0OGMM6F9lmvqlgpevEsxd+Q8ugRC1AaAQOyxIRG7AEgcPg9dl/OYB9cRaTp6Jz+&#10;LbHeefSIkUH70bmpNdiPABRWNUTu7U9N6lsTuuS7bReZkM2DaRBtoTwiPSz0c+MMv6nxC90y5zfM&#10;4qDgSOHw+3s8pIK2oDDcKKnA/vpIHuyRv6ilpMXBK6j7uWdWUKK+a2T212w6DZMaH9PZ5QQf9rVm&#10;+1qj980a8MtluGYMj9dg79VJKi00z7gjViEqqpjmGLug3NvTY+37hYBbhovVKprhdBrmb/Wj4QE8&#10;NDow8Kl7ZtYMNPVI8Ds4DSnL37C1tw2eGlZ7D7KOVH7p6/AJcLIjl4YtFFbH63e0etmVy98AAAD/&#10;/wMAUEsDBBQABgAIAAAAIQAY8PrJ3gAAAAgBAAAPAAAAZHJzL2Rvd25yZXYueG1sTI9Ba4NAEIXv&#10;hf6HZQq5JatJCGJdg5Q2kGNiofS2ulO1dWfF3Rjz7zM9tafh8R5vvpftZ9uLCUffOVIQryIQSLUz&#10;HTUK3su3ZQLCB01G945QwQ097PPHh0ynxl3phNM5NIJLyKdaQRvCkErp6xat9is3ILH35UarA8ux&#10;kWbUVy63vVxH0U5a3RF/aPWALy3WP+eLVeCr6VjehuLj+9PXVfFKttweD0otnubiGUTAOfyF4Ref&#10;0SFnpspdyHjRK1iuOcgnjjcg2N9GO55SKdgkCcg8k/8H5HcAAAD//wMAUEsBAi0AFAAGAAgAAAAh&#10;ALaDOJL+AAAA4QEAABMAAAAAAAAAAAAAAAAAAAAAAFtDb250ZW50X1R5cGVzXS54bWxQSwECLQAU&#10;AAYACAAAACEAOP0h/9YAAACUAQAACwAAAAAAAAAAAAAAAAAvAQAAX3JlbHMvLnJlbHNQSwECLQAU&#10;AAYACAAAACEAlckV948CAABzBQAADgAAAAAAAAAAAAAAAAAuAgAAZHJzL2Uyb0RvYy54bWxQSwEC&#10;LQAUAAYACAAAACEAGPD6yd4AAAAIAQAADwAAAAAAAAAAAAAAAADpBAAAZHJzL2Rvd25yZXYueG1s&#10;UEsFBgAAAAAEAAQA8wAAAPQFAAAAAA==&#10;" filled="f" stroked="f" strokeweight="2pt">
              <v:textbox>
                <w:txbxContent>
                  <w:p w14:paraId="23840BC7" w14:textId="77777777" w:rsidR="00C75870" w:rsidRPr="003E7351" w:rsidRDefault="00C75870" w:rsidP="00CC3DE0">
                    <w:pPr>
                      <w:jc w:val="right"/>
                      <w:rPr>
                        <w:rFonts w:asciiTheme="majorBidi" w:hAnsiTheme="majorBidi" w:cstheme="majorBidi"/>
                        <w:color w:val="000000" w:themeColor="text1"/>
                        <w:sz w:val="18"/>
                        <w:szCs w:val="18"/>
                      </w:rPr>
                    </w:pPr>
                    <w:r w:rsidRPr="003E7351">
                      <w:rPr>
                        <w:rFonts w:asciiTheme="majorBidi" w:hAnsiTheme="majorBidi" w:cstheme="majorBidi"/>
                        <w:color w:val="000000" w:themeColor="text1"/>
                        <w:sz w:val="18"/>
                        <w:szCs w:val="18"/>
                      </w:rPr>
                      <w:t>References</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53472" behindDoc="0" locked="0" layoutInCell="1" allowOverlap="1" wp14:anchorId="79297218" wp14:editId="460B06AB">
              <wp:simplePos x="0" y="0"/>
              <wp:positionH relativeFrom="margin">
                <wp:align>right</wp:align>
              </wp:positionH>
              <wp:positionV relativeFrom="paragraph">
                <wp:posOffset>-32385</wp:posOffset>
              </wp:positionV>
              <wp:extent cx="2001520" cy="257814"/>
              <wp:effectExtent l="0" t="0" r="0" b="0"/>
              <wp:wrapNone/>
              <wp:docPr id="237" name="Rectangle 23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DA1E5AD" w14:textId="77777777" w:rsidR="00C75870" w:rsidRPr="00070481" w:rsidRDefault="00C75870" w:rsidP="00343376">
                          <w:pPr>
                            <w:pStyle w:val="Heade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9297218" id="Rectangle 237" o:spid="_x0000_s1046" style="position:absolute;left:0;text-align:left;margin-left:106.4pt;margin-top:-2.55pt;width:157.6pt;height:20.3pt;z-index:25175347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UHDjQIAAHMFAAAOAAAAZHJzL2Uyb0RvYy54bWysVMlu2zAQvRfoPxC8N7Jcu0mEyIHhwEWB&#10;IAmSFDnTFGkJoDgsSVtyv75DUlZW9FDUB5mc5c3CN3Nx2beK7IV1DeiS5icTSoTmUDV6W9Kfj+sv&#10;Z5Q4z3TFFGhR0oNw9HLx+dNFZwoxhRpUJSxBEO2KzpS09t4UWeZ4LVrmTsAIjUoJtmUer3abVZZ1&#10;iN6qbDqZfMs6sJWxwIVzKL1KSrqI+FIK7m+ldMITVVLMzcevjd9N+GaLC1ZsLTN1w4c02D9k0bJG&#10;Y9AR6op5Rna2eQfVNtyCA+lPOLQZSNlwEWvAavLJm2oeamZErAWb48zYJvf/YPnN/s6Spirp9Osp&#10;JZq1+Ej32Damt0qQIMQWdcYVaPlg7uxwc3gM9fbStuEfKyF9bOthbKvoPeEoxHfK51PsPkfddH56&#10;ls8CaPbsbazz3wW0JBxKajF+7CbbXzufTI8mIZiGdaMUylmh9CsBYgZJFhJOKcaTPyiRrO+FxGpD&#10;UjFA5JlYKUv2DBnCOBfa50lVs0ok8XyCvyHl0SMWoDQCBmSJCY3YA0Dg8HvsVM5gH1xFpOnoPPlb&#10;Ysl59IiRQfvRuW002I8AFFY1RE72xyal1oQu+X7TRybk58E0iDZQHZAeFtLcOMPXDb7QNXP+jlkc&#10;FHxUHH5/ix+poCspDCdKarC/P5IHe+QvainpcPBK6n7tmBWUqB8amX2ez2ZhUuNlNj8NxLEvNZuX&#10;Gr1rV4Avl+OaMTweg71XR6m00D7hjliGqKhimmPsknJvj5eVTwsBtwwXy2U0w+k0zF/rB8MDeGh0&#10;YOBj/8SsGWjqkeA3cBxSVrxha7INnhqWOw+yiVR+7uvwBDjZkUvDFgqr4+U9Wj3vysUfAAAA//8D&#10;AFBLAwQUAAYACAAAACEAbbtsWtwAAAAGAQAADwAAAGRycy9kb3ducmV2LnhtbEyPQUvDQBCF70L/&#10;wzIFb+0mtRGJ2ZRQqtCjjSDeNtkxiWZnQ3abpv++40lv83iP977JdrPtxYSj7xwpiNcRCKTamY4a&#10;Be/ly+oJhA+ajO4doYIretjli7tMp8Zd6A2nU2gEl5BPtYI2hCGV0tctWu3XbkBi78uNVgeWYyPN&#10;qC9cbnu5iaJHaXVHvNDqAfct1j+ns1Xgq+lYXofi4/vT11VxIFtuj69K3S/n4hlEwDn8heEXn9Eh&#10;Z6bKncl40SvgR4KCVRKDYPchTjYgKj6SBGSeyf/4+Q0AAP//AwBQSwECLQAUAAYACAAAACEAtoM4&#10;kv4AAADhAQAAEwAAAAAAAAAAAAAAAAAAAAAAW0NvbnRlbnRfVHlwZXNdLnhtbFBLAQItABQABgAI&#10;AAAAIQA4/SH/1gAAAJQBAAALAAAAAAAAAAAAAAAAAC8BAABfcmVscy8ucmVsc1BLAQItABQABgAI&#10;AAAAIQBbsUHDjQIAAHMFAAAOAAAAAAAAAAAAAAAAAC4CAABkcnMvZTJvRG9jLnhtbFBLAQItABQA&#10;BgAIAAAAIQBtu2xa3AAAAAYBAAAPAAAAAAAAAAAAAAAAAOcEAABkcnMvZG93bnJldi54bWxQSwUG&#10;AAAAAAQABADzAAAA8AUAAAAA&#10;" filled="f" stroked="f" strokeweight="2pt">
              <v:textbox>
                <w:txbxContent>
                  <w:p w14:paraId="5DA1E5AD" w14:textId="77777777" w:rsidR="00C75870" w:rsidRPr="00070481" w:rsidRDefault="00C75870" w:rsidP="00343376">
                    <w:pPr>
                      <w:pStyle w:val="Header"/>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52448" behindDoc="0" locked="0" layoutInCell="1" allowOverlap="1" wp14:anchorId="300BA304" wp14:editId="4979A293">
              <wp:simplePos x="0" y="0"/>
              <wp:positionH relativeFrom="column">
                <wp:posOffset>2096135</wp:posOffset>
              </wp:positionH>
              <wp:positionV relativeFrom="paragraph">
                <wp:posOffset>-33655</wp:posOffset>
              </wp:positionV>
              <wp:extent cx="488054" cy="257814"/>
              <wp:effectExtent l="0" t="0" r="0" b="0"/>
              <wp:wrapNone/>
              <wp:docPr id="238" name="Rectangle 23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0EE342B" w14:textId="3367CFF2"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C607D">
                            <w:rPr>
                              <w:b/>
                              <w:bCs/>
                              <w:color w:val="FFFFFF" w:themeColor="background1"/>
                              <w:sz w:val="18"/>
                              <w:szCs w:val="18"/>
                              <w:rtl/>
                            </w:rPr>
                            <w:t>50</w:t>
                          </w:r>
                          <w:r w:rsidRPr="00AE382B">
                            <w:rPr>
                              <w:b/>
                              <w:bCs/>
                              <w:color w:val="FFFFFF" w:themeColor="background1"/>
                              <w:sz w:val="18"/>
                              <w:szCs w:val="18"/>
                            </w:rPr>
                            <w:fldChar w:fldCharType="end"/>
                          </w:r>
                        </w:p>
                        <w:p w14:paraId="6D542365" w14:textId="77777777" w:rsidR="00C75870" w:rsidRDefault="00C75870"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00BA304" id="Rectangle 238" o:spid="_x0000_s1047" style="position:absolute;left:0;text-align:left;margin-left:165.05pt;margin-top:-2.65pt;width:38.45pt;height:20.3pt;z-index:25175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BQwjQIAAHIFAAAOAAAAZHJzL2Uyb0RvYy54bWysVFtP2zAUfp+0/2D5fSTt2tFFTVFVxDQJ&#10;AQImnl3HbiI5Pp7tNul+/Y7tNDBAe5jWh9Q+l+9c/J2zvOhbRQ7CugZ0SSdnOSVCc6gavSvpj8er&#10;TwtKnGe6Ygq0KOlROHqx+vhh2ZlCTKEGVQlLEES7ojMlrb03RZY5XouWuTMwQqNSgm2Zx6vdZZVl&#10;HaK3Kpvm+ZesA1sZC1w4h9LLpKSriC+l4P5WSic8USXF3Hz82vjdhm+2WrJiZ5mpGz6kwf4hi5Y1&#10;GoOOUJfMM7K3zRuotuEWHEh/xqHNQMqGi1gDVjPJX1XzUDMjYi3YHGfGNrn/B8tvDneWNFVJp5/x&#10;qTRr8ZHusW1M75QgQYgt6owr0PLB3Nnh5vAY6u2lbcM/VkL62Nbj2FbRe8JROFss8vmMEo6q6fx8&#10;MZkFzOzZ2VjnvwloSTiU1GL42Ex2uHY+mZ5MQiwNV41SKGeF0n8IEDNIspBvyjCe/FGJZH0vJBaL&#10;OU1jgEgzsVGWHBgShHEutJ8kVc0qkcTzHH9DyqNHLEBpBAzIEhMasQeAQOG32KmcwT64isjS0Tn/&#10;W2LJefSIkUH70bltNNj3ABRWNURO9qcmpdaELvl+2ycixFqDaAvVEdlhIY2NM/yqwRe6Zs7fMYtz&#10;ghOFs+9v8SMVdCWF4URJDfbXe/Jgj/RFLSUdzl1J3c89s4IS9V0jsb9OZrMwqPEym59P8WJfarYv&#10;NXrfbgBfboJbxvB4DPZenaTSQvuEK2IdoqKKaY6xS8q9PV02Pu0DXDJcrNfRDIfTMH+tHwwP4KHR&#10;gYGP/ROzZqCpR37fwGlGWfGKrck2eGpY7z3IJlL5ua/DE+BgRy4NSyhsjpf3aPW8Kle/AQ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sYgUMI0CAAByBQAADgAAAAAAAAAAAAAAAAAuAgAAZHJzL2Uyb0RvYy54bWxQSwECLQAU&#10;AAYACAAAACEAIDLzq90AAAAJAQAADwAAAAAAAAAAAAAAAADnBAAAZHJzL2Rvd25yZXYueG1sUEsF&#10;BgAAAAAEAAQA8wAAAPEFAAAAAA==&#10;" filled="f" stroked="f" strokeweight="2pt">
              <v:textbox>
                <w:txbxContent>
                  <w:p w14:paraId="20EE342B" w14:textId="3367CFF2" w:rsidR="00C75870" w:rsidRPr="00AE382B" w:rsidRDefault="00C75870"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C607D">
                      <w:rPr>
                        <w:b/>
                        <w:bCs/>
                        <w:color w:val="FFFFFF" w:themeColor="background1"/>
                        <w:sz w:val="18"/>
                        <w:szCs w:val="18"/>
                        <w:rtl/>
                      </w:rPr>
                      <w:t>50</w:t>
                    </w:r>
                    <w:r w:rsidRPr="00AE382B">
                      <w:rPr>
                        <w:b/>
                        <w:bCs/>
                        <w:color w:val="FFFFFF" w:themeColor="background1"/>
                        <w:sz w:val="18"/>
                        <w:szCs w:val="18"/>
                      </w:rPr>
                      <w:fldChar w:fldCharType="end"/>
                    </w:r>
                  </w:p>
                  <w:p w14:paraId="6D542365" w14:textId="77777777" w:rsidR="00C75870" w:rsidRDefault="00C75870" w:rsidP="00343376">
                    <w:pPr>
                      <w:jc w:val="center"/>
                    </w:pPr>
                  </w:p>
                </w:txbxContent>
              </v:textbox>
            </v:rect>
          </w:pict>
        </mc:Fallback>
      </mc:AlternateContent>
    </w:r>
    <w:r w:rsidRPr="00070481">
      <w:rPr>
        <w:rFonts w:ascii="Arial" w:hAnsi="Arial" w:cs="Arial"/>
        <w:b/>
        <w:bCs/>
      </w:rPr>
      <w:drawing>
        <wp:inline distT="0" distB="0" distL="0" distR="0" wp14:anchorId="5A5EBE3D" wp14:editId="7FB50605">
          <wp:extent cx="4663440" cy="182880"/>
          <wp:effectExtent l="0" t="0" r="3810" b="7620"/>
          <wp:docPr id="239" name="Picture 23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993E21" w14:textId="77777777" w:rsidR="00C75870" w:rsidRDefault="00C75870">
      <w:r>
        <w:separator/>
      </w:r>
    </w:p>
  </w:footnote>
  <w:footnote w:type="continuationSeparator" w:id="0">
    <w:p w14:paraId="31EB3788" w14:textId="77777777" w:rsidR="00C75870" w:rsidRDefault="00C75870">
      <w:r>
        <w:continuationSeparator/>
      </w:r>
    </w:p>
  </w:footnote>
  <w:footnote w:id="1">
    <w:p w14:paraId="4F7D02C4" w14:textId="77777777" w:rsidR="00C75870" w:rsidRPr="00D3741F" w:rsidRDefault="00C75870" w:rsidP="00F93A55">
      <w:pPr>
        <w:bidi w:val="0"/>
        <w:jc w:val="both"/>
        <w:rPr>
          <w:rFonts w:cs="Times New Roman"/>
          <w:sz w:val="14"/>
          <w:szCs w:val="14"/>
        </w:rPr>
      </w:pPr>
      <w:r w:rsidRPr="00D3741F">
        <w:rPr>
          <w:rStyle w:val="FootnoteReference"/>
          <w:sz w:val="14"/>
          <w:szCs w:val="14"/>
        </w:rPr>
        <w:footnoteRef/>
      </w:r>
      <w:r w:rsidRPr="00D3741F">
        <w:rPr>
          <w:sz w:val="14"/>
          <w:szCs w:val="14"/>
          <w:rtl/>
        </w:rPr>
        <w:t xml:space="preserve"> </w:t>
      </w:r>
      <w:r w:rsidRPr="00D3741F">
        <w:rPr>
          <w:rFonts w:cs="Times New Roman"/>
          <w:sz w:val="14"/>
          <w:szCs w:val="14"/>
        </w:rPr>
        <w:t>Labor Force data of the year 202</w:t>
      </w:r>
      <w:r>
        <w:rPr>
          <w:rFonts w:cs="Times New Roman"/>
          <w:sz w:val="14"/>
          <w:szCs w:val="14"/>
        </w:rPr>
        <w:t>4</w:t>
      </w:r>
      <w:r w:rsidRPr="00D3741F">
        <w:rPr>
          <w:rFonts w:cs="Times New Roman"/>
          <w:sz w:val="14"/>
          <w:szCs w:val="14"/>
        </w:rPr>
        <w:t xml:space="preserve"> </w:t>
      </w:r>
      <w:r>
        <w:rPr>
          <w:rFonts w:cs="Times New Roman"/>
          <w:sz w:val="14"/>
          <w:szCs w:val="14"/>
        </w:rPr>
        <w:t>are</w:t>
      </w:r>
      <w:r w:rsidRPr="00D3741F">
        <w:rPr>
          <w:rFonts w:cs="Times New Roman"/>
          <w:sz w:val="14"/>
          <w:szCs w:val="14"/>
        </w:rPr>
        <w:t xml:space="preserve"> not available at Palestine </w:t>
      </w:r>
      <w:r>
        <w:rPr>
          <w:rFonts w:cs="Times New Roman"/>
          <w:sz w:val="14"/>
          <w:szCs w:val="14"/>
        </w:rPr>
        <w:t xml:space="preserve">and Gaza Strip </w:t>
      </w:r>
      <w:r w:rsidRPr="00D3741F">
        <w:rPr>
          <w:rFonts w:cs="Times New Roman"/>
          <w:sz w:val="14"/>
          <w:szCs w:val="14"/>
        </w:rPr>
        <w:t>level</w:t>
      </w:r>
      <w:r>
        <w:rPr>
          <w:rFonts w:cs="Times New Roman"/>
          <w:sz w:val="14"/>
          <w:szCs w:val="14"/>
        </w:rPr>
        <w:t>, because of the Israeli aggression against Gaza Strip.</w:t>
      </w:r>
    </w:p>
  </w:footnote>
  <w:footnote w:id="2">
    <w:p w14:paraId="73D99E1A" w14:textId="77777777" w:rsidR="00C75870" w:rsidRPr="00D3741F" w:rsidRDefault="00C75870" w:rsidP="00F93A55">
      <w:pPr>
        <w:bidi w:val="0"/>
        <w:jc w:val="both"/>
        <w:rPr>
          <w:rFonts w:cs="Times New Roman"/>
          <w:sz w:val="14"/>
          <w:szCs w:val="14"/>
        </w:rPr>
      </w:pPr>
      <w:r w:rsidRPr="00D3741F">
        <w:rPr>
          <w:rStyle w:val="FootnoteReference"/>
          <w:sz w:val="14"/>
          <w:szCs w:val="14"/>
        </w:rPr>
        <w:footnoteRef/>
      </w:r>
      <w:r w:rsidRPr="00D3741F">
        <w:rPr>
          <w:sz w:val="14"/>
          <w:szCs w:val="14"/>
          <w:rtl/>
        </w:rPr>
        <w:t xml:space="preserve"> </w:t>
      </w:r>
      <w:r w:rsidRPr="00D3741F">
        <w:rPr>
          <w:rFonts w:cs="Times New Roman"/>
          <w:sz w:val="14"/>
          <w:szCs w:val="14"/>
        </w:rPr>
        <w:t>Living Standards</w:t>
      </w:r>
      <w:r>
        <w:rPr>
          <w:rFonts w:cs="Times New Roman"/>
          <w:sz w:val="14"/>
          <w:szCs w:val="14"/>
        </w:rPr>
        <w:t xml:space="preserve"> </w:t>
      </w:r>
      <w:r w:rsidRPr="00D3741F">
        <w:rPr>
          <w:rFonts w:cs="Times New Roman"/>
          <w:sz w:val="14"/>
          <w:szCs w:val="14"/>
        </w:rPr>
        <w:t xml:space="preserve">data of the year 2023 </w:t>
      </w:r>
      <w:r>
        <w:rPr>
          <w:rFonts w:cs="Times New Roman"/>
          <w:sz w:val="14"/>
          <w:szCs w:val="14"/>
        </w:rPr>
        <w:t>are</w:t>
      </w:r>
      <w:r w:rsidRPr="00D3741F">
        <w:rPr>
          <w:rFonts w:cs="Times New Roman"/>
          <w:sz w:val="14"/>
          <w:szCs w:val="14"/>
        </w:rPr>
        <w:t xml:space="preserve"> not available at Palestine level; </w:t>
      </w:r>
      <w:r>
        <w:rPr>
          <w:rFonts w:cs="Times New Roman"/>
          <w:sz w:val="14"/>
          <w:szCs w:val="14"/>
        </w:rPr>
        <w:t xml:space="preserve">the </w:t>
      </w:r>
      <w:r w:rsidRPr="00D3741F">
        <w:rPr>
          <w:rFonts w:cs="Times New Roman"/>
          <w:sz w:val="14"/>
          <w:szCs w:val="14"/>
        </w:rPr>
        <w:t>West Bank data represent all quarters of 2023, while Gaza Strip data represent the first three quarters of 2023.</w:t>
      </w:r>
    </w:p>
  </w:footnote>
  <w:footnote w:id="3">
    <w:p w14:paraId="17A2A9AF" w14:textId="77777777" w:rsidR="00C75870" w:rsidRPr="006610DF" w:rsidRDefault="00C75870" w:rsidP="00F93A55">
      <w:pPr>
        <w:pStyle w:val="FootnoteText"/>
        <w:bidi w:val="0"/>
        <w:rPr>
          <w:sz w:val="14"/>
          <w:szCs w:val="14"/>
        </w:rPr>
      </w:pPr>
      <w:r w:rsidRPr="006610DF">
        <w:rPr>
          <w:rStyle w:val="FootnoteReference"/>
          <w:sz w:val="14"/>
          <w:szCs w:val="14"/>
        </w:rPr>
        <w:footnoteRef/>
      </w:r>
      <w:r w:rsidRPr="006610DF">
        <w:rPr>
          <w:sz w:val="14"/>
          <w:szCs w:val="14"/>
          <w:rtl/>
        </w:rPr>
        <w:t xml:space="preserve"> </w:t>
      </w:r>
      <w:r w:rsidRPr="006610DF">
        <w:rPr>
          <w:rFonts w:cs="Times New Roman"/>
          <w:sz w:val="14"/>
          <w:szCs w:val="14"/>
        </w:rPr>
        <w:t>Data</w:t>
      </w:r>
      <w:r>
        <w:rPr>
          <w:rFonts w:cs="Times New Roman"/>
          <w:sz w:val="14"/>
          <w:szCs w:val="14"/>
        </w:rPr>
        <w:t xml:space="preserve"> are</w:t>
      </w:r>
      <w:r w:rsidRPr="006610DF">
        <w:rPr>
          <w:rFonts w:cs="Times New Roman"/>
          <w:sz w:val="14"/>
          <w:szCs w:val="14"/>
        </w:rPr>
        <w:t xml:space="preserve"> </w:t>
      </w:r>
      <w:r>
        <w:rPr>
          <w:rFonts w:cs="Times New Roman"/>
          <w:sz w:val="14"/>
          <w:szCs w:val="14"/>
        </w:rPr>
        <w:t>not available due to the Israeli aggression against</w:t>
      </w:r>
      <w:r w:rsidRPr="006610DF">
        <w:rPr>
          <w:rFonts w:cs="Times New Roman"/>
          <w:sz w:val="14"/>
          <w:szCs w:val="14"/>
        </w:rPr>
        <w:t xml:space="preserve"> Gaza Strip</w:t>
      </w:r>
      <w:r>
        <w:rPr>
          <w:rFonts w:cs="Times New Roman"/>
          <w:sz w:val="14"/>
          <w:szCs w:val="14"/>
        </w:rPr>
        <w:t>.</w:t>
      </w:r>
      <w:r w:rsidRPr="006610DF">
        <w:rPr>
          <w:rFonts w:cs="Times New Roman"/>
          <w:sz w:val="14"/>
          <w:szCs w:val="14"/>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AB6239" w14:textId="77777777" w:rsidR="00C75870" w:rsidRPr="00BB5CA5" w:rsidRDefault="00C75870" w:rsidP="00BB5CA5">
    <w:pPr>
      <w:pStyle w:val="Header"/>
      <w:jc w:val="center"/>
    </w:pPr>
    <w:r>
      <w:drawing>
        <wp:inline distT="0" distB="0" distL="0" distR="0" wp14:anchorId="1FC46031" wp14:editId="520CDA9C">
          <wp:extent cx="4680585" cy="187592"/>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Untitled-2e.jpg"/>
                  <pic:cNvPicPr/>
                </pic:nvPicPr>
                <pic:blipFill>
                  <a:blip r:embed="rId1">
                    <a:extLst>
                      <a:ext uri="{28A0092B-C50C-407E-A947-70E740481C1C}">
                        <a14:useLocalDpi xmlns:a14="http://schemas.microsoft.com/office/drawing/2010/main" val="0"/>
                      </a:ext>
                    </a:extLst>
                  </a:blip>
                  <a:stretch>
                    <a:fillRect/>
                  </a:stretch>
                </pic:blipFill>
                <pic:spPr>
                  <a:xfrm>
                    <a:off x="0" y="0"/>
                    <a:ext cx="4680585" cy="187592"/>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tl/>
      </w:rPr>
      <w:id w:val="-2100859565"/>
      <w:docPartObj>
        <w:docPartGallery w:val="Page Numbers (Top of Page)"/>
        <w:docPartUnique/>
      </w:docPartObj>
    </w:sdtPr>
    <w:sdtEndPr>
      <w:rPr>
        <w:rFonts w:asciiTheme="majorBidi" w:hAnsiTheme="majorBidi" w:cstheme="majorBidi"/>
        <w:sz w:val="20"/>
        <w:szCs w:val="20"/>
        <w:rtl w:val="0"/>
      </w:rPr>
    </w:sdtEndPr>
    <w:sdtContent>
      <w:p w14:paraId="4B418880" w14:textId="77777777" w:rsidR="00C75870" w:rsidRPr="00D939C1" w:rsidRDefault="00C75870" w:rsidP="00245892">
        <w:pPr>
          <w:pStyle w:val="Header"/>
          <w:jc w:val="center"/>
          <w:rPr>
            <w:sz w:val="16"/>
            <w:szCs w:val="16"/>
            <w:rtl/>
          </w:rPr>
        </w:pPr>
      </w:p>
      <w:p w14:paraId="2C1E73F0" w14:textId="77777777" w:rsidR="00C75870" w:rsidRPr="00FD3A3B" w:rsidRDefault="00CC607D" w:rsidP="00FD3A3B">
        <w:pPr>
          <w:pStyle w:val="Header"/>
          <w:bidi w:val="0"/>
          <w:ind w:left="-142"/>
          <w:rPr>
            <w:rFonts w:asciiTheme="majorBidi" w:hAnsiTheme="majorBidi" w:cstheme="majorBidi"/>
            <w:sz w:val="16"/>
            <w:szCs w:val="16"/>
          </w:rP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A60BA0"/>
    <w:multiLevelType w:val="hybridMultilevel"/>
    <w:tmpl w:val="7400A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586CEE"/>
    <w:multiLevelType w:val="hybridMultilevel"/>
    <w:tmpl w:val="5328A64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15:restartNumberingAfterBreak="0">
    <w:nsid w:val="07847960"/>
    <w:multiLevelType w:val="hybridMultilevel"/>
    <w:tmpl w:val="3C3E636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15:restartNumberingAfterBreak="0">
    <w:nsid w:val="0C611D80"/>
    <w:multiLevelType w:val="hybridMultilevel"/>
    <w:tmpl w:val="FC74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C361C0"/>
    <w:multiLevelType w:val="hybridMultilevel"/>
    <w:tmpl w:val="9088370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5" w15:restartNumberingAfterBreak="0">
    <w:nsid w:val="1E2C3F31"/>
    <w:multiLevelType w:val="hybridMultilevel"/>
    <w:tmpl w:val="D584DDA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15:restartNumberingAfterBreak="0">
    <w:nsid w:val="217C5C3E"/>
    <w:multiLevelType w:val="hybridMultilevel"/>
    <w:tmpl w:val="E9FE49D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 w15:restartNumberingAfterBreak="0">
    <w:nsid w:val="25C118CB"/>
    <w:multiLevelType w:val="hybridMultilevel"/>
    <w:tmpl w:val="27BCA5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69C7624"/>
    <w:multiLevelType w:val="hybridMultilevel"/>
    <w:tmpl w:val="0BA4FB4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15:restartNumberingAfterBreak="0">
    <w:nsid w:val="2F237EC9"/>
    <w:multiLevelType w:val="multilevel"/>
    <w:tmpl w:val="9732FA7A"/>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1BA67B7"/>
    <w:multiLevelType w:val="hybridMultilevel"/>
    <w:tmpl w:val="3996C06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8F1354"/>
    <w:multiLevelType w:val="hybridMultilevel"/>
    <w:tmpl w:val="7F6276C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15:restartNumberingAfterBreak="0">
    <w:nsid w:val="492F46D9"/>
    <w:multiLevelType w:val="hybridMultilevel"/>
    <w:tmpl w:val="A8402298"/>
    <w:lvl w:ilvl="0" w:tplc="904C4826">
      <w:start w:val="1"/>
      <w:numFmt w:val="decimal"/>
      <w:lvlText w:val="%1."/>
      <w:lvlJc w:val="left"/>
      <w:pPr>
        <w:tabs>
          <w:tab w:val="num" w:pos="786"/>
        </w:tabs>
        <w:ind w:left="786" w:right="720" w:hanging="360"/>
      </w:pPr>
      <w:rPr>
        <w:b/>
        <w:bCs/>
        <w:i w:val="0"/>
        <w:iCs w:val="0"/>
      </w:rPr>
    </w:lvl>
    <w:lvl w:ilvl="1" w:tplc="FFFFFFFF">
      <w:start w:val="1"/>
      <w:numFmt w:val="lowerRoman"/>
      <w:lvlText w:val="%2."/>
      <w:lvlJc w:val="left"/>
      <w:pPr>
        <w:tabs>
          <w:tab w:val="num" w:pos="2008"/>
        </w:tabs>
        <w:ind w:left="2008" w:right="1440" w:hanging="360"/>
      </w:pPr>
    </w:lvl>
    <w:lvl w:ilvl="2" w:tplc="FFFFFFFF" w:tentative="1">
      <w:start w:val="1"/>
      <w:numFmt w:val="arabicAbjad"/>
      <w:lvlText w:val="%3."/>
      <w:lvlJc w:val="right"/>
      <w:pPr>
        <w:tabs>
          <w:tab w:val="num" w:pos="2728"/>
        </w:tabs>
        <w:ind w:left="2728" w:right="2160" w:hanging="180"/>
      </w:pPr>
    </w:lvl>
    <w:lvl w:ilvl="3" w:tplc="FFFFFFFF" w:tentative="1">
      <w:start w:val="1"/>
      <w:numFmt w:val="decimal"/>
      <w:lvlText w:val="%4."/>
      <w:lvlJc w:val="left"/>
      <w:pPr>
        <w:tabs>
          <w:tab w:val="num" w:pos="3448"/>
        </w:tabs>
        <w:ind w:left="3448" w:right="2880" w:hanging="360"/>
      </w:pPr>
    </w:lvl>
    <w:lvl w:ilvl="4" w:tplc="FFFFFFFF" w:tentative="1">
      <w:start w:val="1"/>
      <w:numFmt w:val="lowerRoman"/>
      <w:lvlText w:val="%5."/>
      <w:lvlJc w:val="left"/>
      <w:pPr>
        <w:tabs>
          <w:tab w:val="num" w:pos="4168"/>
        </w:tabs>
        <w:ind w:left="4168" w:right="3600" w:hanging="360"/>
      </w:pPr>
    </w:lvl>
    <w:lvl w:ilvl="5" w:tplc="FFFFFFFF" w:tentative="1">
      <w:start w:val="1"/>
      <w:numFmt w:val="arabicAbjad"/>
      <w:lvlText w:val="%6."/>
      <w:lvlJc w:val="right"/>
      <w:pPr>
        <w:tabs>
          <w:tab w:val="num" w:pos="4888"/>
        </w:tabs>
        <w:ind w:left="4888" w:right="4320" w:hanging="180"/>
      </w:pPr>
    </w:lvl>
    <w:lvl w:ilvl="6" w:tplc="FFFFFFFF" w:tentative="1">
      <w:start w:val="1"/>
      <w:numFmt w:val="decimal"/>
      <w:lvlText w:val="%7."/>
      <w:lvlJc w:val="left"/>
      <w:pPr>
        <w:tabs>
          <w:tab w:val="num" w:pos="5608"/>
        </w:tabs>
        <w:ind w:left="5608" w:right="5040" w:hanging="360"/>
      </w:pPr>
    </w:lvl>
    <w:lvl w:ilvl="7" w:tplc="FFFFFFFF" w:tentative="1">
      <w:start w:val="1"/>
      <w:numFmt w:val="lowerRoman"/>
      <w:lvlText w:val="%8."/>
      <w:lvlJc w:val="left"/>
      <w:pPr>
        <w:tabs>
          <w:tab w:val="num" w:pos="6328"/>
        </w:tabs>
        <w:ind w:left="6328" w:right="5760" w:hanging="360"/>
      </w:pPr>
    </w:lvl>
    <w:lvl w:ilvl="8" w:tplc="FFFFFFFF" w:tentative="1">
      <w:start w:val="1"/>
      <w:numFmt w:val="arabicAbjad"/>
      <w:lvlText w:val="%9."/>
      <w:lvlJc w:val="right"/>
      <w:pPr>
        <w:tabs>
          <w:tab w:val="num" w:pos="7048"/>
        </w:tabs>
        <w:ind w:left="7048" w:right="6480" w:hanging="180"/>
      </w:pPr>
    </w:lvl>
  </w:abstractNum>
  <w:abstractNum w:abstractNumId="13" w15:restartNumberingAfterBreak="0">
    <w:nsid w:val="51E91302"/>
    <w:multiLevelType w:val="hybridMultilevel"/>
    <w:tmpl w:val="CACC7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2CE61A2"/>
    <w:multiLevelType w:val="multilevel"/>
    <w:tmpl w:val="9732FA7A"/>
    <w:lvl w:ilvl="0">
      <w:start w:val="1"/>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55E60F18"/>
    <w:multiLevelType w:val="multilevel"/>
    <w:tmpl w:val="74684BF2"/>
    <w:lvl w:ilvl="0">
      <w:start w:val="1"/>
      <w:numFmt w:val="decimal"/>
      <w:lvlText w:val="%1."/>
      <w:lvlJc w:val="left"/>
      <w:pPr>
        <w:ind w:left="720" w:hanging="360"/>
      </w:p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5D473BC0"/>
    <w:multiLevelType w:val="hybridMultilevel"/>
    <w:tmpl w:val="6B725B6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15:restartNumberingAfterBreak="0">
    <w:nsid w:val="61ED09A2"/>
    <w:multiLevelType w:val="multilevel"/>
    <w:tmpl w:val="9732FA7A"/>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85B28D8"/>
    <w:multiLevelType w:val="hybridMultilevel"/>
    <w:tmpl w:val="24AAD1B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9" w15:restartNumberingAfterBreak="0">
    <w:nsid w:val="78D60C6B"/>
    <w:multiLevelType w:val="hybridMultilevel"/>
    <w:tmpl w:val="3E827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477B73"/>
    <w:multiLevelType w:val="hybridMultilevel"/>
    <w:tmpl w:val="5D46C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0"/>
  </w:num>
  <w:num w:numId="3">
    <w:abstractNumId w:val="3"/>
  </w:num>
  <w:num w:numId="4">
    <w:abstractNumId w:val="13"/>
  </w:num>
  <w:num w:numId="5">
    <w:abstractNumId w:val="16"/>
  </w:num>
  <w:num w:numId="6">
    <w:abstractNumId w:val="12"/>
  </w:num>
  <w:num w:numId="7">
    <w:abstractNumId w:val="7"/>
  </w:num>
  <w:num w:numId="8">
    <w:abstractNumId w:val="8"/>
  </w:num>
  <w:num w:numId="9">
    <w:abstractNumId w:val="11"/>
  </w:num>
  <w:num w:numId="10">
    <w:abstractNumId w:val="2"/>
  </w:num>
  <w:num w:numId="11">
    <w:abstractNumId w:val="6"/>
  </w:num>
  <w:num w:numId="12">
    <w:abstractNumId w:val="5"/>
  </w:num>
  <w:num w:numId="13">
    <w:abstractNumId w:val="1"/>
  </w:num>
  <w:num w:numId="14">
    <w:abstractNumId w:val="20"/>
  </w:num>
  <w:num w:numId="15">
    <w:abstractNumId w:val="15"/>
  </w:num>
  <w:num w:numId="16">
    <w:abstractNumId w:val="14"/>
  </w:num>
  <w:num w:numId="17">
    <w:abstractNumId w:val="9"/>
  </w:num>
  <w:num w:numId="18">
    <w:abstractNumId w:val="17"/>
  </w:num>
  <w:num w:numId="19">
    <w:abstractNumId w:val="10"/>
  </w:num>
  <w:num w:numId="20">
    <w:abstractNumId w:val="4"/>
  </w:num>
  <w:num w:numId="21">
    <w:abstractNumId w:val="19"/>
  </w:num>
  <w:num w:numId="2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defaultTabStop w:val="720"/>
  <w:drawingGridHorizontalSpacing w:val="100"/>
  <w:displayHorizontalDrawingGridEvery w:val="0"/>
  <w:displayVerticalDrawingGridEvery w:val="0"/>
  <w:noPunctuationKerning/>
  <w:characterSpacingControl w:val="doNotCompress"/>
  <w:hdrShapeDefaults>
    <o:shapedefaults v:ext="edit" spidmax="14337"/>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4667"/>
    <w:rsid w:val="000001F8"/>
    <w:rsid w:val="00001140"/>
    <w:rsid w:val="0000335E"/>
    <w:rsid w:val="000051DD"/>
    <w:rsid w:val="00005AB1"/>
    <w:rsid w:val="00005CAA"/>
    <w:rsid w:val="00007EB5"/>
    <w:rsid w:val="0001173D"/>
    <w:rsid w:val="00011E6E"/>
    <w:rsid w:val="00012230"/>
    <w:rsid w:val="0001318B"/>
    <w:rsid w:val="00016911"/>
    <w:rsid w:val="00016F73"/>
    <w:rsid w:val="00020B1A"/>
    <w:rsid w:val="00021877"/>
    <w:rsid w:val="00023096"/>
    <w:rsid w:val="00023577"/>
    <w:rsid w:val="00023F0F"/>
    <w:rsid w:val="0002409A"/>
    <w:rsid w:val="00025582"/>
    <w:rsid w:val="00026664"/>
    <w:rsid w:val="0002726C"/>
    <w:rsid w:val="000309BE"/>
    <w:rsid w:val="00031BB7"/>
    <w:rsid w:val="000324A2"/>
    <w:rsid w:val="00033ECA"/>
    <w:rsid w:val="000342D1"/>
    <w:rsid w:val="00036AC7"/>
    <w:rsid w:val="00037ADE"/>
    <w:rsid w:val="000401BD"/>
    <w:rsid w:val="00040ABC"/>
    <w:rsid w:val="00042A1B"/>
    <w:rsid w:val="00043566"/>
    <w:rsid w:val="00052F46"/>
    <w:rsid w:val="00053E66"/>
    <w:rsid w:val="0005405C"/>
    <w:rsid w:val="000577DC"/>
    <w:rsid w:val="00061851"/>
    <w:rsid w:val="000651E0"/>
    <w:rsid w:val="000710B9"/>
    <w:rsid w:val="00071EB9"/>
    <w:rsid w:val="00076F43"/>
    <w:rsid w:val="0008018F"/>
    <w:rsid w:val="00082A06"/>
    <w:rsid w:val="00082A74"/>
    <w:rsid w:val="00083A79"/>
    <w:rsid w:val="00083B23"/>
    <w:rsid w:val="00087B2B"/>
    <w:rsid w:val="00091A24"/>
    <w:rsid w:val="00092A84"/>
    <w:rsid w:val="0009524E"/>
    <w:rsid w:val="00095823"/>
    <w:rsid w:val="00097127"/>
    <w:rsid w:val="000975D5"/>
    <w:rsid w:val="000A02ED"/>
    <w:rsid w:val="000A257F"/>
    <w:rsid w:val="000A28D1"/>
    <w:rsid w:val="000A369C"/>
    <w:rsid w:val="000A6072"/>
    <w:rsid w:val="000B039F"/>
    <w:rsid w:val="000B216A"/>
    <w:rsid w:val="000B28A9"/>
    <w:rsid w:val="000B2C53"/>
    <w:rsid w:val="000B391F"/>
    <w:rsid w:val="000B411D"/>
    <w:rsid w:val="000B5ABB"/>
    <w:rsid w:val="000C0139"/>
    <w:rsid w:val="000C0D0C"/>
    <w:rsid w:val="000C2B40"/>
    <w:rsid w:val="000C6A15"/>
    <w:rsid w:val="000D0F0E"/>
    <w:rsid w:val="000D34BE"/>
    <w:rsid w:val="000D3792"/>
    <w:rsid w:val="000D4858"/>
    <w:rsid w:val="000D55F1"/>
    <w:rsid w:val="000E08B0"/>
    <w:rsid w:val="000E1F3E"/>
    <w:rsid w:val="000E29FD"/>
    <w:rsid w:val="000E32D9"/>
    <w:rsid w:val="000E365A"/>
    <w:rsid w:val="000E78F4"/>
    <w:rsid w:val="000E7D35"/>
    <w:rsid w:val="000F0315"/>
    <w:rsid w:val="000F0816"/>
    <w:rsid w:val="000F08D7"/>
    <w:rsid w:val="000F1308"/>
    <w:rsid w:val="000F2BD5"/>
    <w:rsid w:val="000F5881"/>
    <w:rsid w:val="000F597D"/>
    <w:rsid w:val="000F5ABF"/>
    <w:rsid w:val="000F647C"/>
    <w:rsid w:val="000F7961"/>
    <w:rsid w:val="001012D7"/>
    <w:rsid w:val="00101867"/>
    <w:rsid w:val="00102DAA"/>
    <w:rsid w:val="00105CFB"/>
    <w:rsid w:val="00105DC4"/>
    <w:rsid w:val="00106156"/>
    <w:rsid w:val="00111503"/>
    <w:rsid w:val="00111A08"/>
    <w:rsid w:val="001130D3"/>
    <w:rsid w:val="001138E6"/>
    <w:rsid w:val="00116BB0"/>
    <w:rsid w:val="00120562"/>
    <w:rsid w:val="00120DB1"/>
    <w:rsid w:val="00121281"/>
    <w:rsid w:val="00121F45"/>
    <w:rsid w:val="001224BE"/>
    <w:rsid w:val="001225B9"/>
    <w:rsid w:val="00122D2E"/>
    <w:rsid w:val="00123269"/>
    <w:rsid w:val="001247D0"/>
    <w:rsid w:val="00124D14"/>
    <w:rsid w:val="00126FF4"/>
    <w:rsid w:val="00127609"/>
    <w:rsid w:val="001309C5"/>
    <w:rsid w:val="001316AD"/>
    <w:rsid w:val="00132AC8"/>
    <w:rsid w:val="00132B6F"/>
    <w:rsid w:val="00136090"/>
    <w:rsid w:val="00140C2C"/>
    <w:rsid w:val="001410AF"/>
    <w:rsid w:val="00141DB6"/>
    <w:rsid w:val="00143B29"/>
    <w:rsid w:val="00146909"/>
    <w:rsid w:val="00150FBB"/>
    <w:rsid w:val="00151ECE"/>
    <w:rsid w:val="00154774"/>
    <w:rsid w:val="00161708"/>
    <w:rsid w:val="0016296C"/>
    <w:rsid w:val="00162DDD"/>
    <w:rsid w:val="00164851"/>
    <w:rsid w:val="00165CD2"/>
    <w:rsid w:val="00167213"/>
    <w:rsid w:val="00170441"/>
    <w:rsid w:val="00170DE0"/>
    <w:rsid w:val="001718CD"/>
    <w:rsid w:val="00172667"/>
    <w:rsid w:val="001733F3"/>
    <w:rsid w:val="0017340B"/>
    <w:rsid w:val="001743E4"/>
    <w:rsid w:val="00175598"/>
    <w:rsid w:val="0017571A"/>
    <w:rsid w:val="00176070"/>
    <w:rsid w:val="00176875"/>
    <w:rsid w:val="00183168"/>
    <w:rsid w:val="00183C1F"/>
    <w:rsid w:val="00183E88"/>
    <w:rsid w:val="0018495C"/>
    <w:rsid w:val="0019252E"/>
    <w:rsid w:val="0019255D"/>
    <w:rsid w:val="00192AFE"/>
    <w:rsid w:val="00192FD0"/>
    <w:rsid w:val="00194847"/>
    <w:rsid w:val="00194E97"/>
    <w:rsid w:val="00195075"/>
    <w:rsid w:val="0019525B"/>
    <w:rsid w:val="00195C26"/>
    <w:rsid w:val="00195C71"/>
    <w:rsid w:val="001A064A"/>
    <w:rsid w:val="001A3F94"/>
    <w:rsid w:val="001A5244"/>
    <w:rsid w:val="001A66FE"/>
    <w:rsid w:val="001A76E3"/>
    <w:rsid w:val="001B3DB3"/>
    <w:rsid w:val="001B437B"/>
    <w:rsid w:val="001B64AC"/>
    <w:rsid w:val="001B73A5"/>
    <w:rsid w:val="001B7721"/>
    <w:rsid w:val="001C0B3E"/>
    <w:rsid w:val="001C30CE"/>
    <w:rsid w:val="001C34CD"/>
    <w:rsid w:val="001C3D8C"/>
    <w:rsid w:val="001C4283"/>
    <w:rsid w:val="001C48E1"/>
    <w:rsid w:val="001C4EF1"/>
    <w:rsid w:val="001C50E4"/>
    <w:rsid w:val="001C52D5"/>
    <w:rsid w:val="001D1662"/>
    <w:rsid w:val="001D2A8E"/>
    <w:rsid w:val="001D2D3A"/>
    <w:rsid w:val="001D5941"/>
    <w:rsid w:val="001D5985"/>
    <w:rsid w:val="001D67C4"/>
    <w:rsid w:val="001E2A80"/>
    <w:rsid w:val="001E306C"/>
    <w:rsid w:val="001E3249"/>
    <w:rsid w:val="001E374A"/>
    <w:rsid w:val="001E3B2D"/>
    <w:rsid w:val="001E4F78"/>
    <w:rsid w:val="001E5279"/>
    <w:rsid w:val="001E5B3D"/>
    <w:rsid w:val="001E6984"/>
    <w:rsid w:val="001F14D7"/>
    <w:rsid w:val="001F347F"/>
    <w:rsid w:val="001F46E1"/>
    <w:rsid w:val="0020090A"/>
    <w:rsid w:val="0020126B"/>
    <w:rsid w:val="00201DAB"/>
    <w:rsid w:val="002023AA"/>
    <w:rsid w:val="00204FE2"/>
    <w:rsid w:val="00205156"/>
    <w:rsid w:val="002061BB"/>
    <w:rsid w:val="00206999"/>
    <w:rsid w:val="002131A2"/>
    <w:rsid w:val="00213828"/>
    <w:rsid w:val="00215BAF"/>
    <w:rsid w:val="002166EF"/>
    <w:rsid w:val="00221DAA"/>
    <w:rsid w:val="00221FCC"/>
    <w:rsid w:val="002223E9"/>
    <w:rsid w:val="0022368A"/>
    <w:rsid w:val="002271FE"/>
    <w:rsid w:val="0022746B"/>
    <w:rsid w:val="00227FAE"/>
    <w:rsid w:val="00231883"/>
    <w:rsid w:val="00231F3A"/>
    <w:rsid w:val="002329E9"/>
    <w:rsid w:val="00233C94"/>
    <w:rsid w:val="00234B5B"/>
    <w:rsid w:val="0023561E"/>
    <w:rsid w:val="0023792F"/>
    <w:rsid w:val="0024122D"/>
    <w:rsid w:val="002420DC"/>
    <w:rsid w:val="00242EC5"/>
    <w:rsid w:val="00243F13"/>
    <w:rsid w:val="00244C9A"/>
    <w:rsid w:val="00245892"/>
    <w:rsid w:val="00246378"/>
    <w:rsid w:val="00250322"/>
    <w:rsid w:val="00251DCC"/>
    <w:rsid w:val="00252329"/>
    <w:rsid w:val="002525BF"/>
    <w:rsid w:val="0025341E"/>
    <w:rsid w:val="0025433A"/>
    <w:rsid w:val="00254E33"/>
    <w:rsid w:val="002578B8"/>
    <w:rsid w:val="00257E45"/>
    <w:rsid w:val="00260B51"/>
    <w:rsid w:val="00261C66"/>
    <w:rsid w:val="00261E08"/>
    <w:rsid w:val="002707E6"/>
    <w:rsid w:val="00274DE0"/>
    <w:rsid w:val="002753B2"/>
    <w:rsid w:val="002760A0"/>
    <w:rsid w:val="0027616A"/>
    <w:rsid w:val="00277045"/>
    <w:rsid w:val="00280F0E"/>
    <w:rsid w:val="00283491"/>
    <w:rsid w:val="00284C78"/>
    <w:rsid w:val="00285840"/>
    <w:rsid w:val="00290137"/>
    <w:rsid w:val="002913A2"/>
    <w:rsid w:val="00296D42"/>
    <w:rsid w:val="0029743D"/>
    <w:rsid w:val="002A431C"/>
    <w:rsid w:val="002A70CF"/>
    <w:rsid w:val="002B005F"/>
    <w:rsid w:val="002B1069"/>
    <w:rsid w:val="002B2A57"/>
    <w:rsid w:val="002B5B73"/>
    <w:rsid w:val="002C038B"/>
    <w:rsid w:val="002C0569"/>
    <w:rsid w:val="002C3DDD"/>
    <w:rsid w:val="002C540E"/>
    <w:rsid w:val="002C64FC"/>
    <w:rsid w:val="002D2437"/>
    <w:rsid w:val="002D7E9B"/>
    <w:rsid w:val="002E09C4"/>
    <w:rsid w:val="002E11C0"/>
    <w:rsid w:val="002E154E"/>
    <w:rsid w:val="002E2945"/>
    <w:rsid w:val="002E4E22"/>
    <w:rsid w:val="002E57D4"/>
    <w:rsid w:val="002F11C7"/>
    <w:rsid w:val="002F2B84"/>
    <w:rsid w:val="002F2EA1"/>
    <w:rsid w:val="002F4AC8"/>
    <w:rsid w:val="002F4F1C"/>
    <w:rsid w:val="002F61B2"/>
    <w:rsid w:val="002F7B0E"/>
    <w:rsid w:val="003023C4"/>
    <w:rsid w:val="0030373A"/>
    <w:rsid w:val="00303D67"/>
    <w:rsid w:val="003049CD"/>
    <w:rsid w:val="00304D94"/>
    <w:rsid w:val="00307A3E"/>
    <w:rsid w:val="0031007E"/>
    <w:rsid w:val="0031137C"/>
    <w:rsid w:val="00312F98"/>
    <w:rsid w:val="00312FAE"/>
    <w:rsid w:val="003137E5"/>
    <w:rsid w:val="00315252"/>
    <w:rsid w:val="00317D8B"/>
    <w:rsid w:val="0032028B"/>
    <w:rsid w:val="00320EB9"/>
    <w:rsid w:val="0032263F"/>
    <w:rsid w:val="00323AE5"/>
    <w:rsid w:val="003245E5"/>
    <w:rsid w:val="00324EB7"/>
    <w:rsid w:val="0032510E"/>
    <w:rsid w:val="00325941"/>
    <w:rsid w:val="0032645D"/>
    <w:rsid w:val="00330D56"/>
    <w:rsid w:val="003311B5"/>
    <w:rsid w:val="00332D85"/>
    <w:rsid w:val="00333F83"/>
    <w:rsid w:val="0033456A"/>
    <w:rsid w:val="00342C24"/>
    <w:rsid w:val="00342D5D"/>
    <w:rsid w:val="00343376"/>
    <w:rsid w:val="00343517"/>
    <w:rsid w:val="00343968"/>
    <w:rsid w:val="003443B4"/>
    <w:rsid w:val="003451B1"/>
    <w:rsid w:val="00346E41"/>
    <w:rsid w:val="00347971"/>
    <w:rsid w:val="003524B4"/>
    <w:rsid w:val="003525F9"/>
    <w:rsid w:val="00362A6E"/>
    <w:rsid w:val="00362B11"/>
    <w:rsid w:val="00363939"/>
    <w:rsid w:val="00363C8E"/>
    <w:rsid w:val="003643B6"/>
    <w:rsid w:val="00364E7A"/>
    <w:rsid w:val="00365576"/>
    <w:rsid w:val="00365A61"/>
    <w:rsid w:val="00365A8E"/>
    <w:rsid w:val="003671FE"/>
    <w:rsid w:val="0036726F"/>
    <w:rsid w:val="00370CA2"/>
    <w:rsid w:val="003769C5"/>
    <w:rsid w:val="00376ECE"/>
    <w:rsid w:val="00380D5E"/>
    <w:rsid w:val="0038616D"/>
    <w:rsid w:val="003872EC"/>
    <w:rsid w:val="0038765C"/>
    <w:rsid w:val="003902B0"/>
    <w:rsid w:val="00390650"/>
    <w:rsid w:val="00391198"/>
    <w:rsid w:val="00391B6F"/>
    <w:rsid w:val="0039242B"/>
    <w:rsid w:val="00392ADD"/>
    <w:rsid w:val="00394C4D"/>
    <w:rsid w:val="00394CF6"/>
    <w:rsid w:val="0039609E"/>
    <w:rsid w:val="003962A9"/>
    <w:rsid w:val="00396FC8"/>
    <w:rsid w:val="0039706D"/>
    <w:rsid w:val="003A08C9"/>
    <w:rsid w:val="003A1B4C"/>
    <w:rsid w:val="003A34B5"/>
    <w:rsid w:val="003A3AD3"/>
    <w:rsid w:val="003A6546"/>
    <w:rsid w:val="003A6756"/>
    <w:rsid w:val="003A6FAA"/>
    <w:rsid w:val="003B1B06"/>
    <w:rsid w:val="003B2CE9"/>
    <w:rsid w:val="003B2D35"/>
    <w:rsid w:val="003B3155"/>
    <w:rsid w:val="003B4EEF"/>
    <w:rsid w:val="003B6EB2"/>
    <w:rsid w:val="003B79B5"/>
    <w:rsid w:val="003C6164"/>
    <w:rsid w:val="003C7AE3"/>
    <w:rsid w:val="003D3CF0"/>
    <w:rsid w:val="003D3FDF"/>
    <w:rsid w:val="003D4036"/>
    <w:rsid w:val="003D604A"/>
    <w:rsid w:val="003D7D83"/>
    <w:rsid w:val="003E0286"/>
    <w:rsid w:val="003E0B9D"/>
    <w:rsid w:val="003E1A8E"/>
    <w:rsid w:val="003E2B79"/>
    <w:rsid w:val="003E40B6"/>
    <w:rsid w:val="003E435A"/>
    <w:rsid w:val="003E546F"/>
    <w:rsid w:val="003E7351"/>
    <w:rsid w:val="003E73A8"/>
    <w:rsid w:val="003F48E7"/>
    <w:rsid w:val="003F58C8"/>
    <w:rsid w:val="003F772B"/>
    <w:rsid w:val="00402C7A"/>
    <w:rsid w:val="004034CF"/>
    <w:rsid w:val="0040616F"/>
    <w:rsid w:val="00407B38"/>
    <w:rsid w:val="00407D8A"/>
    <w:rsid w:val="00411099"/>
    <w:rsid w:val="00411440"/>
    <w:rsid w:val="004152F8"/>
    <w:rsid w:val="00416163"/>
    <w:rsid w:val="004162C4"/>
    <w:rsid w:val="00421D88"/>
    <w:rsid w:val="004222AB"/>
    <w:rsid w:val="004230A5"/>
    <w:rsid w:val="0042599D"/>
    <w:rsid w:val="004363A4"/>
    <w:rsid w:val="00441A36"/>
    <w:rsid w:val="00444387"/>
    <w:rsid w:val="00446631"/>
    <w:rsid w:val="00446DA4"/>
    <w:rsid w:val="004476CD"/>
    <w:rsid w:val="00452DE1"/>
    <w:rsid w:val="00453EB7"/>
    <w:rsid w:val="004544D4"/>
    <w:rsid w:val="00460382"/>
    <w:rsid w:val="00462684"/>
    <w:rsid w:val="00463305"/>
    <w:rsid w:val="0046338C"/>
    <w:rsid w:val="00463BBB"/>
    <w:rsid w:val="004641F5"/>
    <w:rsid w:val="00464958"/>
    <w:rsid w:val="00464B89"/>
    <w:rsid w:val="00466434"/>
    <w:rsid w:val="00470A53"/>
    <w:rsid w:val="00472FF5"/>
    <w:rsid w:val="004735AE"/>
    <w:rsid w:val="0047428A"/>
    <w:rsid w:val="00474F49"/>
    <w:rsid w:val="004767DA"/>
    <w:rsid w:val="00481B0A"/>
    <w:rsid w:val="00483D40"/>
    <w:rsid w:val="00485480"/>
    <w:rsid w:val="0048736C"/>
    <w:rsid w:val="00487562"/>
    <w:rsid w:val="0049023F"/>
    <w:rsid w:val="0049305D"/>
    <w:rsid w:val="00497E9E"/>
    <w:rsid w:val="004A2863"/>
    <w:rsid w:val="004A70DE"/>
    <w:rsid w:val="004B61AD"/>
    <w:rsid w:val="004C041A"/>
    <w:rsid w:val="004C0BED"/>
    <w:rsid w:val="004C1D4D"/>
    <w:rsid w:val="004C46DD"/>
    <w:rsid w:val="004C5AB2"/>
    <w:rsid w:val="004C6C79"/>
    <w:rsid w:val="004C6CEC"/>
    <w:rsid w:val="004C6DC6"/>
    <w:rsid w:val="004D05F6"/>
    <w:rsid w:val="004D2372"/>
    <w:rsid w:val="004D68CD"/>
    <w:rsid w:val="004D69BB"/>
    <w:rsid w:val="004D69FF"/>
    <w:rsid w:val="004E1510"/>
    <w:rsid w:val="004E1CFB"/>
    <w:rsid w:val="004E2E40"/>
    <w:rsid w:val="004E5646"/>
    <w:rsid w:val="004E5CCE"/>
    <w:rsid w:val="004F0D36"/>
    <w:rsid w:val="004F11D8"/>
    <w:rsid w:val="004F1553"/>
    <w:rsid w:val="004F4346"/>
    <w:rsid w:val="004F45A4"/>
    <w:rsid w:val="004F631D"/>
    <w:rsid w:val="004F7210"/>
    <w:rsid w:val="004F7C2D"/>
    <w:rsid w:val="0050265F"/>
    <w:rsid w:val="00502E1B"/>
    <w:rsid w:val="00503B79"/>
    <w:rsid w:val="0050427F"/>
    <w:rsid w:val="005074E1"/>
    <w:rsid w:val="005104E8"/>
    <w:rsid w:val="005106F1"/>
    <w:rsid w:val="0051137D"/>
    <w:rsid w:val="00513094"/>
    <w:rsid w:val="00517136"/>
    <w:rsid w:val="00522470"/>
    <w:rsid w:val="005250AF"/>
    <w:rsid w:val="00540895"/>
    <w:rsid w:val="00541CCB"/>
    <w:rsid w:val="00541E81"/>
    <w:rsid w:val="00543ECD"/>
    <w:rsid w:val="00544FE5"/>
    <w:rsid w:val="00545176"/>
    <w:rsid w:val="0054780F"/>
    <w:rsid w:val="005479C4"/>
    <w:rsid w:val="005516B2"/>
    <w:rsid w:val="00552300"/>
    <w:rsid w:val="00552835"/>
    <w:rsid w:val="0055297E"/>
    <w:rsid w:val="00560C4C"/>
    <w:rsid w:val="00562CE2"/>
    <w:rsid w:val="00563371"/>
    <w:rsid w:val="00564BEE"/>
    <w:rsid w:val="00564BFF"/>
    <w:rsid w:val="0056731C"/>
    <w:rsid w:val="0057227C"/>
    <w:rsid w:val="00572C61"/>
    <w:rsid w:val="00574A12"/>
    <w:rsid w:val="00576079"/>
    <w:rsid w:val="00580A7F"/>
    <w:rsid w:val="00581696"/>
    <w:rsid w:val="00582544"/>
    <w:rsid w:val="005826EA"/>
    <w:rsid w:val="00583F3F"/>
    <w:rsid w:val="00584E5C"/>
    <w:rsid w:val="00585669"/>
    <w:rsid w:val="00585B4C"/>
    <w:rsid w:val="0059066A"/>
    <w:rsid w:val="00594DB2"/>
    <w:rsid w:val="00595F68"/>
    <w:rsid w:val="00596C30"/>
    <w:rsid w:val="005979E8"/>
    <w:rsid w:val="005A3645"/>
    <w:rsid w:val="005A39FC"/>
    <w:rsid w:val="005A4BC6"/>
    <w:rsid w:val="005A6A7D"/>
    <w:rsid w:val="005A6CBE"/>
    <w:rsid w:val="005A76A3"/>
    <w:rsid w:val="005A7B27"/>
    <w:rsid w:val="005B4DE7"/>
    <w:rsid w:val="005B5CFA"/>
    <w:rsid w:val="005B744D"/>
    <w:rsid w:val="005C1D31"/>
    <w:rsid w:val="005C296C"/>
    <w:rsid w:val="005C4D5D"/>
    <w:rsid w:val="005C64D8"/>
    <w:rsid w:val="005D0367"/>
    <w:rsid w:val="005D10B1"/>
    <w:rsid w:val="005D30BC"/>
    <w:rsid w:val="005D4113"/>
    <w:rsid w:val="005D50F0"/>
    <w:rsid w:val="005D5F50"/>
    <w:rsid w:val="005E026E"/>
    <w:rsid w:val="005E0E0F"/>
    <w:rsid w:val="005E138F"/>
    <w:rsid w:val="005E1AA6"/>
    <w:rsid w:val="005E1B9E"/>
    <w:rsid w:val="005E1C3D"/>
    <w:rsid w:val="005E4F81"/>
    <w:rsid w:val="005E52EC"/>
    <w:rsid w:val="005E598A"/>
    <w:rsid w:val="005E5D2D"/>
    <w:rsid w:val="005E7A04"/>
    <w:rsid w:val="005F1EE0"/>
    <w:rsid w:val="005F2EE9"/>
    <w:rsid w:val="005F34CD"/>
    <w:rsid w:val="005F3F8E"/>
    <w:rsid w:val="005F5CE2"/>
    <w:rsid w:val="006015B3"/>
    <w:rsid w:val="00602395"/>
    <w:rsid w:val="006104FB"/>
    <w:rsid w:val="00610B46"/>
    <w:rsid w:val="00611B16"/>
    <w:rsid w:val="0061202C"/>
    <w:rsid w:val="006136FA"/>
    <w:rsid w:val="00616F8F"/>
    <w:rsid w:val="0061786C"/>
    <w:rsid w:val="00617AF0"/>
    <w:rsid w:val="0062008E"/>
    <w:rsid w:val="0062110C"/>
    <w:rsid w:val="006247BD"/>
    <w:rsid w:val="00627D40"/>
    <w:rsid w:val="00630A9D"/>
    <w:rsid w:val="00636066"/>
    <w:rsid w:val="006371F3"/>
    <w:rsid w:val="00640866"/>
    <w:rsid w:val="00641150"/>
    <w:rsid w:val="006411CC"/>
    <w:rsid w:val="006437FC"/>
    <w:rsid w:val="006439C2"/>
    <w:rsid w:val="00643E03"/>
    <w:rsid w:val="00644320"/>
    <w:rsid w:val="00645E47"/>
    <w:rsid w:val="00647BA2"/>
    <w:rsid w:val="00647D21"/>
    <w:rsid w:val="00650886"/>
    <w:rsid w:val="00651D3A"/>
    <w:rsid w:val="006521C8"/>
    <w:rsid w:val="006551DC"/>
    <w:rsid w:val="00655406"/>
    <w:rsid w:val="00656665"/>
    <w:rsid w:val="006609C6"/>
    <w:rsid w:val="006610DF"/>
    <w:rsid w:val="00661759"/>
    <w:rsid w:val="0066227C"/>
    <w:rsid w:val="00664160"/>
    <w:rsid w:val="006659D6"/>
    <w:rsid w:val="00665E2E"/>
    <w:rsid w:val="00675200"/>
    <w:rsid w:val="00680651"/>
    <w:rsid w:val="0068475D"/>
    <w:rsid w:val="00684A7C"/>
    <w:rsid w:val="00685E90"/>
    <w:rsid w:val="0068777C"/>
    <w:rsid w:val="00692DC6"/>
    <w:rsid w:val="0069441A"/>
    <w:rsid w:val="00694808"/>
    <w:rsid w:val="00696CFE"/>
    <w:rsid w:val="006A0755"/>
    <w:rsid w:val="006A0DC1"/>
    <w:rsid w:val="006A3FED"/>
    <w:rsid w:val="006A4952"/>
    <w:rsid w:val="006A50E5"/>
    <w:rsid w:val="006A73F2"/>
    <w:rsid w:val="006A79F0"/>
    <w:rsid w:val="006B03C0"/>
    <w:rsid w:val="006B2196"/>
    <w:rsid w:val="006B3073"/>
    <w:rsid w:val="006B3D25"/>
    <w:rsid w:val="006B7C6D"/>
    <w:rsid w:val="006C22D0"/>
    <w:rsid w:val="006C3AE2"/>
    <w:rsid w:val="006C546A"/>
    <w:rsid w:val="006D15DD"/>
    <w:rsid w:val="006D2A1F"/>
    <w:rsid w:val="006D2BE1"/>
    <w:rsid w:val="006D319E"/>
    <w:rsid w:val="006D6DEF"/>
    <w:rsid w:val="006D70E1"/>
    <w:rsid w:val="006E31D2"/>
    <w:rsid w:val="006E3371"/>
    <w:rsid w:val="006E533A"/>
    <w:rsid w:val="006E5F34"/>
    <w:rsid w:val="006E790D"/>
    <w:rsid w:val="006F075D"/>
    <w:rsid w:val="006F2FE9"/>
    <w:rsid w:val="006F50CF"/>
    <w:rsid w:val="006F53C0"/>
    <w:rsid w:val="006F5F0A"/>
    <w:rsid w:val="006F7C45"/>
    <w:rsid w:val="00705175"/>
    <w:rsid w:val="0070520D"/>
    <w:rsid w:val="00705935"/>
    <w:rsid w:val="00705BF6"/>
    <w:rsid w:val="00710E46"/>
    <w:rsid w:val="007125A9"/>
    <w:rsid w:val="00713DD8"/>
    <w:rsid w:val="00720AAA"/>
    <w:rsid w:val="00721E5F"/>
    <w:rsid w:val="00723D31"/>
    <w:rsid w:val="007246D4"/>
    <w:rsid w:val="0072481B"/>
    <w:rsid w:val="00725246"/>
    <w:rsid w:val="00725F86"/>
    <w:rsid w:val="0072666C"/>
    <w:rsid w:val="00727A73"/>
    <w:rsid w:val="00730D6B"/>
    <w:rsid w:val="00731040"/>
    <w:rsid w:val="00734F96"/>
    <w:rsid w:val="007351C7"/>
    <w:rsid w:val="00736253"/>
    <w:rsid w:val="00740FD1"/>
    <w:rsid w:val="00741BDB"/>
    <w:rsid w:val="00744A44"/>
    <w:rsid w:val="00745BDD"/>
    <w:rsid w:val="00747BA1"/>
    <w:rsid w:val="00750285"/>
    <w:rsid w:val="00751C22"/>
    <w:rsid w:val="00755129"/>
    <w:rsid w:val="00755A3B"/>
    <w:rsid w:val="00756E2C"/>
    <w:rsid w:val="0076171C"/>
    <w:rsid w:val="007634FB"/>
    <w:rsid w:val="00763A37"/>
    <w:rsid w:val="00766AFA"/>
    <w:rsid w:val="00770191"/>
    <w:rsid w:val="00771B59"/>
    <w:rsid w:val="0077339D"/>
    <w:rsid w:val="007739B3"/>
    <w:rsid w:val="00775B1C"/>
    <w:rsid w:val="00775E1A"/>
    <w:rsid w:val="00777CA1"/>
    <w:rsid w:val="00780C13"/>
    <w:rsid w:val="007818A3"/>
    <w:rsid w:val="00781B38"/>
    <w:rsid w:val="00783089"/>
    <w:rsid w:val="00783201"/>
    <w:rsid w:val="007852DB"/>
    <w:rsid w:val="00785AD5"/>
    <w:rsid w:val="00787490"/>
    <w:rsid w:val="00790853"/>
    <w:rsid w:val="00792596"/>
    <w:rsid w:val="00792810"/>
    <w:rsid w:val="007A2F57"/>
    <w:rsid w:val="007A3631"/>
    <w:rsid w:val="007A37E8"/>
    <w:rsid w:val="007A5208"/>
    <w:rsid w:val="007A5D75"/>
    <w:rsid w:val="007B0AB7"/>
    <w:rsid w:val="007B1051"/>
    <w:rsid w:val="007B3A35"/>
    <w:rsid w:val="007B534D"/>
    <w:rsid w:val="007B54F6"/>
    <w:rsid w:val="007B565C"/>
    <w:rsid w:val="007B57F3"/>
    <w:rsid w:val="007B593B"/>
    <w:rsid w:val="007B68FC"/>
    <w:rsid w:val="007C07FF"/>
    <w:rsid w:val="007C0D9A"/>
    <w:rsid w:val="007C0FC1"/>
    <w:rsid w:val="007C1590"/>
    <w:rsid w:val="007C2919"/>
    <w:rsid w:val="007C364A"/>
    <w:rsid w:val="007C4400"/>
    <w:rsid w:val="007C5E05"/>
    <w:rsid w:val="007C6B51"/>
    <w:rsid w:val="007C6CB1"/>
    <w:rsid w:val="007D17E9"/>
    <w:rsid w:val="007D1C33"/>
    <w:rsid w:val="007D3C47"/>
    <w:rsid w:val="007D59E2"/>
    <w:rsid w:val="007E0B38"/>
    <w:rsid w:val="007E1E8F"/>
    <w:rsid w:val="007E3E9F"/>
    <w:rsid w:val="007E463D"/>
    <w:rsid w:val="007E4D58"/>
    <w:rsid w:val="007E6053"/>
    <w:rsid w:val="007E729C"/>
    <w:rsid w:val="007F381B"/>
    <w:rsid w:val="007F50CB"/>
    <w:rsid w:val="007F57C2"/>
    <w:rsid w:val="007F5DA7"/>
    <w:rsid w:val="007F66FB"/>
    <w:rsid w:val="00801767"/>
    <w:rsid w:val="00801D36"/>
    <w:rsid w:val="00801E52"/>
    <w:rsid w:val="008020C9"/>
    <w:rsid w:val="008021B9"/>
    <w:rsid w:val="008037C8"/>
    <w:rsid w:val="00805739"/>
    <w:rsid w:val="0080595F"/>
    <w:rsid w:val="00807150"/>
    <w:rsid w:val="00810A53"/>
    <w:rsid w:val="00810F4B"/>
    <w:rsid w:val="00813C05"/>
    <w:rsid w:val="00816507"/>
    <w:rsid w:val="00820CAA"/>
    <w:rsid w:val="0082220F"/>
    <w:rsid w:val="00823B5D"/>
    <w:rsid w:val="00827032"/>
    <w:rsid w:val="00830C7E"/>
    <w:rsid w:val="00831FC5"/>
    <w:rsid w:val="008322F5"/>
    <w:rsid w:val="008325D6"/>
    <w:rsid w:val="00834877"/>
    <w:rsid w:val="008356F0"/>
    <w:rsid w:val="008450EC"/>
    <w:rsid w:val="00850BC4"/>
    <w:rsid w:val="008525D9"/>
    <w:rsid w:val="00852A16"/>
    <w:rsid w:val="00853A04"/>
    <w:rsid w:val="00854CC5"/>
    <w:rsid w:val="00856462"/>
    <w:rsid w:val="00862D68"/>
    <w:rsid w:val="008638A6"/>
    <w:rsid w:val="00865530"/>
    <w:rsid w:val="00865DA5"/>
    <w:rsid w:val="00867F88"/>
    <w:rsid w:val="00870422"/>
    <w:rsid w:val="00873BED"/>
    <w:rsid w:val="0087423D"/>
    <w:rsid w:val="008773EE"/>
    <w:rsid w:val="00877A52"/>
    <w:rsid w:val="00885FD0"/>
    <w:rsid w:val="00892694"/>
    <w:rsid w:val="0089274B"/>
    <w:rsid w:val="008962F9"/>
    <w:rsid w:val="008A0F60"/>
    <w:rsid w:val="008A12C1"/>
    <w:rsid w:val="008A22A3"/>
    <w:rsid w:val="008A5706"/>
    <w:rsid w:val="008A5837"/>
    <w:rsid w:val="008A6AF1"/>
    <w:rsid w:val="008A7096"/>
    <w:rsid w:val="008A758A"/>
    <w:rsid w:val="008B0B01"/>
    <w:rsid w:val="008B13AA"/>
    <w:rsid w:val="008B1815"/>
    <w:rsid w:val="008B195F"/>
    <w:rsid w:val="008B2095"/>
    <w:rsid w:val="008B457B"/>
    <w:rsid w:val="008B4667"/>
    <w:rsid w:val="008B52C4"/>
    <w:rsid w:val="008B672C"/>
    <w:rsid w:val="008B6BC5"/>
    <w:rsid w:val="008B7C77"/>
    <w:rsid w:val="008C05BD"/>
    <w:rsid w:val="008C2B2F"/>
    <w:rsid w:val="008C6321"/>
    <w:rsid w:val="008C70D7"/>
    <w:rsid w:val="008C72A9"/>
    <w:rsid w:val="008C77BC"/>
    <w:rsid w:val="008D19E8"/>
    <w:rsid w:val="008D2EC0"/>
    <w:rsid w:val="008D2FFB"/>
    <w:rsid w:val="008D398F"/>
    <w:rsid w:val="008D3F2D"/>
    <w:rsid w:val="008D49EF"/>
    <w:rsid w:val="008D57CE"/>
    <w:rsid w:val="008D7E1E"/>
    <w:rsid w:val="008E04D0"/>
    <w:rsid w:val="008E0577"/>
    <w:rsid w:val="008E2254"/>
    <w:rsid w:val="008E2E23"/>
    <w:rsid w:val="008E377B"/>
    <w:rsid w:val="008E4B17"/>
    <w:rsid w:val="008E4C25"/>
    <w:rsid w:val="008E672C"/>
    <w:rsid w:val="008E7C49"/>
    <w:rsid w:val="008F4588"/>
    <w:rsid w:val="008F676E"/>
    <w:rsid w:val="008F711A"/>
    <w:rsid w:val="009002F9"/>
    <w:rsid w:val="00901591"/>
    <w:rsid w:val="00903A2D"/>
    <w:rsid w:val="009056A8"/>
    <w:rsid w:val="0090635C"/>
    <w:rsid w:val="00906AA6"/>
    <w:rsid w:val="00912AE1"/>
    <w:rsid w:val="00917D97"/>
    <w:rsid w:val="00917E97"/>
    <w:rsid w:val="009214C0"/>
    <w:rsid w:val="00921B93"/>
    <w:rsid w:val="009229D7"/>
    <w:rsid w:val="00925561"/>
    <w:rsid w:val="009271A5"/>
    <w:rsid w:val="00930DB4"/>
    <w:rsid w:val="009311C6"/>
    <w:rsid w:val="00931D8A"/>
    <w:rsid w:val="0093382A"/>
    <w:rsid w:val="00937B46"/>
    <w:rsid w:val="009420C0"/>
    <w:rsid w:val="009431E6"/>
    <w:rsid w:val="009436B5"/>
    <w:rsid w:val="0094477A"/>
    <w:rsid w:val="0094492B"/>
    <w:rsid w:val="009462AD"/>
    <w:rsid w:val="00946A78"/>
    <w:rsid w:val="0095320A"/>
    <w:rsid w:val="00957234"/>
    <w:rsid w:val="00961FD0"/>
    <w:rsid w:val="0096322A"/>
    <w:rsid w:val="009642F3"/>
    <w:rsid w:val="00966271"/>
    <w:rsid w:val="00967E9D"/>
    <w:rsid w:val="00970323"/>
    <w:rsid w:val="00970797"/>
    <w:rsid w:val="00971C01"/>
    <w:rsid w:val="00971C96"/>
    <w:rsid w:val="009749FA"/>
    <w:rsid w:val="009753FE"/>
    <w:rsid w:val="009754ED"/>
    <w:rsid w:val="009759D0"/>
    <w:rsid w:val="00980BC4"/>
    <w:rsid w:val="00984848"/>
    <w:rsid w:val="0098516E"/>
    <w:rsid w:val="00985EC9"/>
    <w:rsid w:val="00990455"/>
    <w:rsid w:val="00991BAE"/>
    <w:rsid w:val="00995E09"/>
    <w:rsid w:val="00997D1A"/>
    <w:rsid w:val="009A28B1"/>
    <w:rsid w:val="009A3514"/>
    <w:rsid w:val="009A4561"/>
    <w:rsid w:val="009A6453"/>
    <w:rsid w:val="009A66EF"/>
    <w:rsid w:val="009A6F5A"/>
    <w:rsid w:val="009B54B5"/>
    <w:rsid w:val="009B76A6"/>
    <w:rsid w:val="009C2BF0"/>
    <w:rsid w:val="009C5546"/>
    <w:rsid w:val="009D110B"/>
    <w:rsid w:val="009D3434"/>
    <w:rsid w:val="009D3540"/>
    <w:rsid w:val="009D500F"/>
    <w:rsid w:val="009D57D9"/>
    <w:rsid w:val="009D6AE0"/>
    <w:rsid w:val="009E09AB"/>
    <w:rsid w:val="009E344A"/>
    <w:rsid w:val="009E3C9C"/>
    <w:rsid w:val="009E4C23"/>
    <w:rsid w:val="009E534E"/>
    <w:rsid w:val="009E6457"/>
    <w:rsid w:val="009E791A"/>
    <w:rsid w:val="009F078A"/>
    <w:rsid w:val="009F0B10"/>
    <w:rsid w:val="009F10B2"/>
    <w:rsid w:val="009F10DF"/>
    <w:rsid w:val="009F6298"/>
    <w:rsid w:val="009F6BF3"/>
    <w:rsid w:val="009F6D13"/>
    <w:rsid w:val="009F7BBD"/>
    <w:rsid w:val="00A000F0"/>
    <w:rsid w:val="00A003A5"/>
    <w:rsid w:val="00A00E91"/>
    <w:rsid w:val="00A013AE"/>
    <w:rsid w:val="00A019BA"/>
    <w:rsid w:val="00A04DCA"/>
    <w:rsid w:val="00A11710"/>
    <w:rsid w:val="00A11EA2"/>
    <w:rsid w:val="00A13F3F"/>
    <w:rsid w:val="00A166D4"/>
    <w:rsid w:val="00A177A0"/>
    <w:rsid w:val="00A22A69"/>
    <w:rsid w:val="00A2444C"/>
    <w:rsid w:val="00A25391"/>
    <w:rsid w:val="00A2670B"/>
    <w:rsid w:val="00A3061D"/>
    <w:rsid w:val="00A313C5"/>
    <w:rsid w:val="00A35F78"/>
    <w:rsid w:val="00A4256F"/>
    <w:rsid w:val="00A52315"/>
    <w:rsid w:val="00A5267E"/>
    <w:rsid w:val="00A53BC2"/>
    <w:rsid w:val="00A5467D"/>
    <w:rsid w:val="00A54B2E"/>
    <w:rsid w:val="00A55150"/>
    <w:rsid w:val="00A575B6"/>
    <w:rsid w:val="00A60C0F"/>
    <w:rsid w:val="00A6203D"/>
    <w:rsid w:val="00A621B3"/>
    <w:rsid w:val="00A623CE"/>
    <w:rsid w:val="00A63CB4"/>
    <w:rsid w:val="00A66017"/>
    <w:rsid w:val="00A6617F"/>
    <w:rsid w:val="00A70755"/>
    <w:rsid w:val="00A70C57"/>
    <w:rsid w:val="00A818FD"/>
    <w:rsid w:val="00A81CCE"/>
    <w:rsid w:val="00A841BE"/>
    <w:rsid w:val="00A85835"/>
    <w:rsid w:val="00A9116D"/>
    <w:rsid w:val="00A91C6A"/>
    <w:rsid w:val="00A92FC8"/>
    <w:rsid w:val="00A930E0"/>
    <w:rsid w:val="00A95A6C"/>
    <w:rsid w:val="00AA0188"/>
    <w:rsid w:val="00AA0A60"/>
    <w:rsid w:val="00AA37FC"/>
    <w:rsid w:val="00AA39C2"/>
    <w:rsid w:val="00AA5840"/>
    <w:rsid w:val="00AA5D52"/>
    <w:rsid w:val="00AB2253"/>
    <w:rsid w:val="00AB24B7"/>
    <w:rsid w:val="00AB4ACA"/>
    <w:rsid w:val="00AB76E8"/>
    <w:rsid w:val="00AC0149"/>
    <w:rsid w:val="00AC14D1"/>
    <w:rsid w:val="00AC1637"/>
    <w:rsid w:val="00AC2F23"/>
    <w:rsid w:val="00AC3E17"/>
    <w:rsid w:val="00AC57A3"/>
    <w:rsid w:val="00AC63F2"/>
    <w:rsid w:val="00AC6F14"/>
    <w:rsid w:val="00AD0147"/>
    <w:rsid w:val="00AD0821"/>
    <w:rsid w:val="00AD1432"/>
    <w:rsid w:val="00AD172C"/>
    <w:rsid w:val="00AD229A"/>
    <w:rsid w:val="00AD23A0"/>
    <w:rsid w:val="00AD3FF9"/>
    <w:rsid w:val="00AD4650"/>
    <w:rsid w:val="00AD6C8C"/>
    <w:rsid w:val="00AD79FE"/>
    <w:rsid w:val="00AE047E"/>
    <w:rsid w:val="00AE1EB2"/>
    <w:rsid w:val="00AE4EDB"/>
    <w:rsid w:val="00AE5284"/>
    <w:rsid w:val="00AE5685"/>
    <w:rsid w:val="00AE68CD"/>
    <w:rsid w:val="00AE789F"/>
    <w:rsid w:val="00AF122F"/>
    <w:rsid w:val="00AF249E"/>
    <w:rsid w:val="00AF3820"/>
    <w:rsid w:val="00AF3D69"/>
    <w:rsid w:val="00AF4029"/>
    <w:rsid w:val="00AF49F1"/>
    <w:rsid w:val="00AF6394"/>
    <w:rsid w:val="00B013B0"/>
    <w:rsid w:val="00B03A2C"/>
    <w:rsid w:val="00B03B94"/>
    <w:rsid w:val="00B04E2E"/>
    <w:rsid w:val="00B05766"/>
    <w:rsid w:val="00B066A1"/>
    <w:rsid w:val="00B10E6C"/>
    <w:rsid w:val="00B12300"/>
    <w:rsid w:val="00B12625"/>
    <w:rsid w:val="00B14560"/>
    <w:rsid w:val="00B14CC3"/>
    <w:rsid w:val="00B14FDA"/>
    <w:rsid w:val="00B155C1"/>
    <w:rsid w:val="00B236CB"/>
    <w:rsid w:val="00B237AB"/>
    <w:rsid w:val="00B23E37"/>
    <w:rsid w:val="00B274B5"/>
    <w:rsid w:val="00B27C1A"/>
    <w:rsid w:val="00B27FC5"/>
    <w:rsid w:val="00B32110"/>
    <w:rsid w:val="00B3391B"/>
    <w:rsid w:val="00B343CC"/>
    <w:rsid w:val="00B3467D"/>
    <w:rsid w:val="00B35605"/>
    <w:rsid w:val="00B35D17"/>
    <w:rsid w:val="00B35F89"/>
    <w:rsid w:val="00B36D45"/>
    <w:rsid w:val="00B41E2C"/>
    <w:rsid w:val="00B4715B"/>
    <w:rsid w:val="00B501BF"/>
    <w:rsid w:val="00B538CA"/>
    <w:rsid w:val="00B5686E"/>
    <w:rsid w:val="00B56C72"/>
    <w:rsid w:val="00B62252"/>
    <w:rsid w:val="00B651CD"/>
    <w:rsid w:val="00B65999"/>
    <w:rsid w:val="00B70651"/>
    <w:rsid w:val="00B70F5A"/>
    <w:rsid w:val="00B711EF"/>
    <w:rsid w:val="00B717CE"/>
    <w:rsid w:val="00B723EF"/>
    <w:rsid w:val="00B7275C"/>
    <w:rsid w:val="00B7543C"/>
    <w:rsid w:val="00B76ABE"/>
    <w:rsid w:val="00B76D98"/>
    <w:rsid w:val="00B76EED"/>
    <w:rsid w:val="00B77C84"/>
    <w:rsid w:val="00B83288"/>
    <w:rsid w:val="00B84496"/>
    <w:rsid w:val="00B84EF1"/>
    <w:rsid w:val="00B87A50"/>
    <w:rsid w:val="00B90147"/>
    <w:rsid w:val="00B919C4"/>
    <w:rsid w:val="00B939C6"/>
    <w:rsid w:val="00B940F4"/>
    <w:rsid w:val="00B95F9C"/>
    <w:rsid w:val="00B97D23"/>
    <w:rsid w:val="00BA2D6B"/>
    <w:rsid w:val="00BA3974"/>
    <w:rsid w:val="00BA4944"/>
    <w:rsid w:val="00BA60E3"/>
    <w:rsid w:val="00BA6202"/>
    <w:rsid w:val="00BA6858"/>
    <w:rsid w:val="00BB14B8"/>
    <w:rsid w:val="00BB1AC9"/>
    <w:rsid w:val="00BB2E26"/>
    <w:rsid w:val="00BB3FD1"/>
    <w:rsid w:val="00BB420D"/>
    <w:rsid w:val="00BB4E7F"/>
    <w:rsid w:val="00BB5CA5"/>
    <w:rsid w:val="00BB74C0"/>
    <w:rsid w:val="00BC29D8"/>
    <w:rsid w:val="00BC6E0D"/>
    <w:rsid w:val="00BC6E97"/>
    <w:rsid w:val="00BD1B54"/>
    <w:rsid w:val="00BD2231"/>
    <w:rsid w:val="00BD2BE6"/>
    <w:rsid w:val="00BD2C7D"/>
    <w:rsid w:val="00BD2F33"/>
    <w:rsid w:val="00BD5553"/>
    <w:rsid w:val="00BD6077"/>
    <w:rsid w:val="00BE03CF"/>
    <w:rsid w:val="00BE306A"/>
    <w:rsid w:val="00BE4FF9"/>
    <w:rsid w:val="00BF3174"/>
    <w:rsid w:val="00BF3661"/>
    <w:rsid w:val="00BF3DB2"/>
    <w:rsid w:val="00BF41A3"/>
    <w:rsid w:val="00BF44ED"/>
    <w:rsid w:val="00C0101D"/>
    <w:rsid w:val="00C01CB5"/>
    <w:rsid w:val="00C026ED"/>
    <w:rsid w:val="00C05B8E"/>
    <w:rsid w:val="00C07179"/>
    <w:rsid w:val="00C126F0"/>
    <w:rsid w:val="00C13CF0"/>
    <w:rsid w:val="00C159D6"/>
    <w:rsid w:val="00C16B07"/>
    <w:rsid w:val="00C211EB"/>
    <w:rsid w:val="00C222E6"/>
    <w:rsid w:val="00C225C9"/>
    <w:rsid w:val="00C24D13"/>
    <w:rsid w:val="00C254AA"/>
    <w:rsid w:val="00C25C16"/>
    <w:rsid w:val="00C26DB1"/>
    <w:rsid w:val="00C31BAA"/>
    <w:rsid w:val="00C32CD2"/>
    <w:rsid w:val="00C32E00"/>
    <w:rsid w:val="00C33900"/>
    <w:rsid w:val="00C34927"/>
    <w:rsid w:val="00C35681"/>
    <w:rsid w:val="00C3591F"/>
    <w:rsid w:val="00C365A9"/>
    <w:rsid w:val="00C374C8"/>
    <w:rsid w:val="00C40A4F"/>
    <w:rsid w:val="00C414BB"/>
    <w:rsid w:val="00C422EA"/>
    <w:rsid w:val="00C42815"/>
    <w:rsid w:val="00C43F27"/>
    <w:rsid w:val="00C44E93"/>
    <w:rsid w:val="00C45FB7"/>
    <w:rsid w:val="00C46703"/>
    <w:rsid w:val="00C4699E"/>
    <w:rsid w:val="00C469E0"/>
    <w:rsid w:val="00C53A6C"/>
    <w:rsid w:val="00C55663"/>
    <w:rsid w:val="00C5664F"/>
    <w:rsid w:val="00C572E6"/>
    <w:rsid w:val="00C62434"/>
    <w:rsid w:val="00C630A1"/>
    <w:rsid w:val="00C6341D"/>
    <w:rsid w:val="00C64ED1"/>
    <w:rsid w:val="00C65BCC"/>
    <w:rsid w:val="00C67058"/>
    <w:rsid w:val="00C73DA7"/>
    <w:rsid w:val="00C751F9"/>
    <w:rsid w:val="00C75870"/>
    <w:rsid w:val="00C758BB"/>
    <w:rsid w:val="00C779D8"/>
    <w:rsid w:val="00C80695"/>
    <w:rsid w:val="00C847D4"/>
    <w:rsid w:val="00C84928"/>
    <w:rsid w:val="00C84A72"/>
    <w:rsid w:val="00C87754"/>
    <w:rsid w:val="00C918D8"/>
    <w:rsid w:val="00C92667"/>
    <w:rsid w:val="00C92ED9"/>
    <w:rsid w:val="00C94C35"/>
    <w:rsid w:val="00C95CF0"/>
    <w:rsid w:val="00CA2DF3"/>
    <w:rsid w:val="00CA5E20"/>
    <w:rsid w:val="00CA5FD1"/>
    <w:rsid w:val="00CA67D1"/>
    <w:rsid w:val="00CA6888"/>
    <w:rsid w:val="00CB0DB7"/>
    <w:rsid w:val="00CB5D9E"/>
    <w:rsid w:val="00CC1EDB"/>
    <w:rsid w:val="00CC3DE0"/>
    <w:rsid w:val="00CC607D"/>
    <w:rsid w:val="00CC636C"/>
    <w:rsid w:val="00CC6F6F"/>
    <w:rsid w:val="00CD44BF"/>
    <w:rsid w:val="00CD4A5C"/>
    <w:rsid w:val="00CD5A3B"/>
    <w:rsid w:val="00CD63F8"/>
    <w:rsid w:val="00CD6B05"/>
    <w:rsid w:val="00CD7B45"/>
    <w:rsid w:val="00CD7CC8"/>
    <w:rsid w:val="00CE5EA7"/>
    <w:rsid w:val="00CE7405"/>
    <w:rsid w:val="00CF1072"/>
    <w:rsid w:val="00CF1FD5"/>
    <w:rsid w:val="00CF2D93"/>
    <w:rsid w:val="00CF3849"/>
    <w:rsid w:val="00CF4BE3"/>
    <w:rsid w:val="00CF4C3E"/>
    <w:rsid w:val="00CF4F8B"/>
    <w:rsid w:val="00CF5613"/>
    <w:rsid w:val="00CF57AE"/>
    <w:rsid w:val="00CF7502"/>
    <w:rsid w:val="00CF778F"/>
    <w:rsid w:val="00CF7B7E"/>
    <w:rsid w:val="00D02B6B"/>
    <w:rsid w:val="00D034DB"/>
    <w:rsid w:val="00D042C9"/>
    <w:rsid w:val="00D07279"/>
    <w:rsid w:val="00D1305D"/>
    <w:rsid w:val="00D1379C"/>
    <w:rsid w:val="00D140EC"/>
    <w:rsid w:val="00D14C82"/>
    <w:rsid w:val="00D14D94"/>
    <w:rsid w:val="00D15511"/>
    <w:rsid w:val="00D16B16"/>
    <w:rsid w:val="00D17646"/>
    <w:rsid w:val="00D20E69"/>
    <w:rsid w:val="00D23E61"/>
    <w:rsid w:val="00D25696"/>
    <w:rsid w:val="00D260F7"/>
    <w:rsid w:val="00D32AF3"/>
    <w:rsid w:val="00D34218"/>
    <w:rsid w:val="00D34CDC"/>
    <w:rsid w:val="00D34D51"/>
    <w:rsid w:val="00D35E4C"/>
    <w:rsid w:val="00D362FC"/>
    <w:rsid w:val="00D3648B"/>
    <w:rsid w:val="00D3741F"/>
    <w:rsid w:val="00D37831"/>
    <w:rsid w:val="00D37D76"/>
    <w:rsid w:val="00D4186C"/>
    <w:rsid w:val="00D4484F"/>
    <w:rsid w:val="00D45C83"/>
    <w:rsid w:val="00D46460"/>
    <w:rsid w:val="00D55377"/>
    <w:rsid w:val="00D55592"/>
    <w:rsid w:val="00D555B4"/>
    <w:rsid w:val="00D57A45"/>
    <w:rsid w:val="00D61B54"/>
    <w:rsid w:val="00D64586"/>
    <w:rsid w:val="00D65487"/>
    <w:rsid w:val="00D65A8A"/>
    <w:rsid w:val="00D7085B"/>
    <w:rsid w:val="00D72F8E"/>
    <w:rsid w:val="00D75E95"/>
    <w:rsid w:val="00D806E5"/>
    <w:rsid w:val="00D80F0C"/>
    <w:rsid w:val="00D81485"/>
    <w:rsid w:val="00D84E0C"/>
    <w:rsid w:val="00D911B8"/>
    <w:rsid w:val="00D915F1"/>
    <w:rsid w:val="00D917E0"/>
    <w:rsid w:val="00D9485D"/>
    <w:rsid w:val="00D954DA"/>
    <w:rsid w:val="00D95D88"/>
    <w:rsid w:val="00D95D97"/>
    <w:rsid w:val="00D96132"/>
    <w:rsid w:val="00D97721"/>
    <w:rsid w:val="00DA0042"/>
    <w:rsid w:val="00DA1E1D"/>
    <w:rsid w:val="00DB02F6"/>
    <w:rsid w:val="00DB1250"/>
    <w:rsid w:val="00DB2A00"/>
    <w:rsid w:val="00DB3740"/>
    <w:rsid w:val="00DB3DC7"/>
    <w:rsid w:val="00DC1635"/>
    <w:rsid w:val="00DC41FE"/>
    <w:rsid w:val="00DC4947"/>
    <w:rsid w:val="00DC61EB"/>
    <w:rsid w:val="00DC73AA"/>
    <w:rsid w:val="00DC77ED"/>
    <w:rsid w:val="00DC784F"/>
    <w:rsid w:val="00DD07D9"/>
    <w:rsid w:val="00DD0AEA"/>
    <w:rsid w:val="00DD3164"/>
    <w:rsid w:val="00DD466C"/>
    <w:rsid w:val="00DE2160"/>
    <w:rsid w:val="00DE3096"/>
    <w:rsid w:val="00DE3ABA"/>
    <w:rsid w:val="00DE447E"/>
    <w:rsid w:val="00DE50B9"/>
    <w:rsid w:val="00DE53A7"/>
    <w:rsid w:val="00DF182D"/>
    <w:rsid w:val="00DF21D7"/>
    <w:rsid w:val="00DF23ED"/>
    <w:rsid w:val="00DF3882"/>
    <w:rsid w:val="00DF4EBE"/>
    <w:rsid w:val="00DF58F3"/>
    <w:rsid w:val="00DF5D06"/>
    <w:rsid w:val="00E041C8"/>
    <w:rsid w:val="00E05AD2"/>
    <w:rsid w:val="00E07EED"/>
    <w:rsid w:val="00E10D42"/>
    <w:rsid w:val="00E14310"/>
    <w:rsid w:val="00E1638B"/>
    <w:rsid w:val="00E1754D"/>
    <w:rsid w:val="00E17C5A"/>
    <w:rsid w:val="00E22802"/>
    <w:rsid w:val="00E23EDB"/>
    <w:rsid w:val="00E32453"/>
    <w:rsid w:val="00E32A3A"/>
    <w:rsid w:val="00E3312E"/>
    <w:rsid w:val="00E4227C"/>
    <w:rsid w:val="00E42C40"/>
    <w:rsid w:val="00E43339"/>
    <w:rsid w:val="00E44F76"/>
    <w:rsid w:val="00E45115"/>
    <w:rsid w:val="00E4547D"/>
    <w:rsid w:val="00E45D7D"/>
    <w:rsid w:val="00E46874"/>
    <w:rsid w:val="00E47016"/>
    <w:rsid w:val="00E4712A"/>
    <w:rsid w:val="00E471AD"/>
    <w:rsid w:val="00E50D67"/>
    <w:rsid w:val="00E5273A"/>
    <w:rsid w:val="00E53287"/>
    <w:rsid w:val="00E53847"/>
    <w:rsid w:val="00E54CB8"/>
    <w:rsid w:val="00E55315"/>
    <w:rsid w:val="00E553A3"/>
    <w:rsid w:val="00E57745"/>
    <w:rsid w:val="00E60252"/>
    <w:rsid w:val="00E6256A"/>
    <w:rsid w:val="00E6264F"/>
    <w:rsid w:val="00E63F8A"/>
    <w:rsid w:val="00E6442A"/>
    <w:rsid w:val="00E64D0C"/>
    <w:rsid w:val="00E66767"/>
    <w:rsid w:val="00E700E3"/>
    <w:rsid w:val="00E726E9"/>
    <w:rsid w:val="00E737BE"/>
    <w:rsid w:val="00E74A17"/>
    <w:rsid w:val="00E76B22"/>
    <w:rsid w:val="00E77A0C"/>
    <w:rsid w:val="00E81F93"/>
    <w:rsid w:val="00E83137"/>
    <w:rsid w:val="00E8343A"/>
    <w:rsid w:val="00E838FC"/>
    <w:rsid w:val="00E848CC"/>
    <w:rsid w:val="00E85C5C"/>
    <w:rsid w:val="00E87C82"/>
    <w:rsid w:val="00E90968"/>
    <w:rsid w:val="00E90C8A"/>
    <w:rsid w:val="00E927B5"/>
    <w:rsid w:val="00E92F8E"/>
    <w:rsid w:val="00E93BED"/>
    <w:rsid w:val="00E958DE"/>
    <w:rsid w:val="00E95FAC"/>
    <w:rsid w:val="00EA2EAE"/>
    <w:rsid w:val="00EA4FD3"/>
    <w:rsid w:val="00EA5550"/>
    <w:rsid w:val="00EA5A8D"/>
    <w:rsid w:val="00EB2D4C"/>
    <w:rsid w:val="00EB2E22"/>
    <w:rsid w:val="00EB36B0"/>
    <w:rsid w:val="00EB378D"/>
    <w:rsid w:val="00EB66D3"/>
    <w:rsid w:val="00EB6967"/>
    <w:rsid w:val="00EB74B1"/>
    <w:rsid w:val="00EB7852"/>
    <w:rsid w:val="00EB7EA9"/>
    <w:rsid w:val="00EC028E"/>
    <w:rsid w:val="00EC1D54"/>
    <w:rsid w:val="00EC547E"/>
    <w:rsid w:val="00EC757B"/>
    <w:rsid w:val="00ED060A"/>
    <w:rsid w:val="00ED6314"/>
    <w:rsid w:val="00ED76D1"/>
    <w:rsid w:val="00EE7C8E"/>
    <w:rsid w:val="00EE7EB0"/>
    <w:rsid w:val="00EF0E8D"/>
    <w:rsid w:val="00EF1E9C"/>
    <w:rsid w:val="00EF25F5"/>
    <w:rsid w:val="00EF2ABD"/>
    <w:rsid w:val="00EF364F"/>
    <w:rsid w:val="00EF4DEE"/>
    <w:rsid w:val="00EF68A8"/>
    <w:rsid w:val="00EF76F7"/>
    <w:rsid w:val="00F021F4"/>
    <w:rsid w:val="00F05318"/>
    <w:rsid w:val="00F12E67"/>
    <w:rsid w:val="00F148C9"/>
    <w:rsid w:val="00F21340"/>
    <w:rsid w:val="00F213D0"/>
    <w:rsid w:val="00F224B1"/>
    <w:rsid w:val="00F232F7"/>
    <w:rsid w:val="00F23404"/>
    <w:rsid w:val="00F24ACD"/>
    <w:rsid w:val="00F24F73"/>
    <w:rsid w:val="00F27718"/>
    <w:rsid w:val="00F30742"/>
    <w:rsid w:val="00F33740"/>
    <w:rsid w:val="00F34784"/>
    <w:rsid w:val="00F36BF6"/>
    <w:rsid w:val="00F3799E"/>
    <w:rsid w:val="00F42E18"/>
    <w:rsid w:val="00F43461"/>
    <w:rsid w:val="00F45838"/>
    <w:rsid w:val="00F45839"/>
    <w:rsid w:val="00F46792"/>
    <w:rsid w:val="00F5242F"/>
    <w:rsid w:val="00F5255E"/>
    <w:rsid w:val="00F5319C"/>
    <w:rsid w:val="00F539DD"/>
    <w:rsid w:val="00F53E19"/>
    <w:rsid w:val="00F542C3"/>
    <w:rsid w:val="00F54730"/>
    <w:rsid w:val="00F55989"/>
    <w:rsid w:val="00F55E6B"/>
    <w:rsid w:val="00F56CAB"/>
    <w:rsid w:val="00F57814"/>
    <w:rsid w:val="00F630A3"/>
    <w:rsid w:val="00F63512"/>
    <w:rsid w:val="00F65140"/>
    <w:rsid w:val="00F6582D"/>
    <w:rsid w:val="00F66646"/>
    <w:rsid w:val="00F670CC"/>
    <w:rsid w:val="00F714ED"/>
    <w:rsid w:val="00F75B21"/>
    <w:rsid w:val="00F820DD"/>
    <w:rsid w:val="00F82717"/>
    <w:rsid w:val="00F82845"/>
    <w:rsid w:val="00F82F06"/>
    <w:rsid w:val="00F838EF"/>
    <w:rsid w:val="00F85866"/>
    <w:rsid w:val="00F85D6D"/>
    <w:rsid w:val="00F85E83"/>
    <w:rsid w:val="00F87E70"/>
    <w:rsid w:val="00F91F2A"/>
    <w:rsid w:val="00F93784"/>
    <w:rsid w:val="00F93A55"/>
    <w:rsid w:val="00F94911"/>
    <w:rsid w:val="00F96A7B"/>
    <w:rsid w:val="00F97D08"/>
    <w:rsid w:val="00FA0472"/>
    <w:rsid w:val="00FA2D8D"/>
    <w:rsid w:val="00FA3792"/>
    <w:rsid w:val="00FA71D1"/>
    <w:rsid w:val="00FB0003"/>
    <w:rsid w:val="00FB0C9B"/>
    <w:rsid w:val="00FB1415"/>
    <w:rsid w:val="00FB1DBA"/>
    <w:rsid w:val="00FB2212"/>
    <w:rsid w:val="00FB239F"/>
    <w:rsid w:val="00FB23AF"/>
    <w:rsid w:val="00FB548C"/>
    <w:rsid w:val="00FB7AA2"/>
    <w:rsid w:val="00FC0439"/>
    <w:rsid w:val="00FC4204"/>
    <w:rsid w:val="00FC60D1"/>
    <w:rsid w:val="00FC6303"/>
    <w:rsid w:val="00FC7BD2"/>
    <w:rsid w:val="00FD1100"/>
    <w:rsid w:val="00FD3A3B"/>
    <w:rsid w:val="00FE0697"/>
    <w:rsid w:val="00FE4608"/>
    <w:rsid w:val="00FE665E"/>
    <w:rsid w:val="00FE6FB4"/>
    <w:rsid w:val="00FE70D5"/>
    <w:rsid w:val="00FF0AE6"/>
    <w:rsid w:val="00FF21A9"/>
    <w:rsid w:val="00FF78AA"/>
    <w:rsid w:val="00FF7962"/>
    <w:rsid w:val="00FF7AE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7"/>
    <o:shapelayout v:ext="edit">
      <o:idmap v:ext="edit" data="1"/>
    </o:shapelayout>
  </w:shapeDefaults>
  <w:decimalSymbol w:val="."/>
  <w:listSeparator w:val=","/>
  <w14:docId w14:val="7EFA3E8F"/>
  <w14:defaultImageDpi w14:val="330"/>
  <w15:docId w15:val="{58B00938-3E2D-4D7A-A5E4-C59E2B533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0DB7"/>
    <w:pPr>
      <w:bidi/>
    </w:pPr>
    <w:rPr>
      <w:noProof/>
    </w:rPr>
  </w:style>
  <w:style w:type="paragraph" w:styleId="Heading1">
    <w:name w:val="heading 1"/>
    <w:basedOn w:val="Normal"/>
    <w:next w:val="Normal"/>
    <w:qFormat/>
    <w:rsid w:val="00CB0DB7"/>
    <w:pPr>
      <w:keepNext/>
      <w:bidi w:val="0"/>
      <w:jc w:val="center"/>
      <w:outlineLvl w:val="0"/>
    </w:pPr>
    <w:rPr>
      <w:rFonts w:ascii="Garamond" w:hAnsi="Garamond"/>
      <w:sz w:val="26"/>
    </w:rPr>
  </w:style>
  <w:style w:type="paragraph" w:styleId="Heading2">
    <w:name w:val="heading 2"/>
    <w:basedOn w:val="Normal"/>
    <w:next w:val="Normal"/>
    <w:qFormat/>
    <w:rsid w:val="00CB0DB7"/>
    <w:pPr>
      <w:keepNext/>
      <w:bidi w:val="0"/>
      <w:jc w:val="center"/>
      <w:outlineLvl w:val="1"/>
    </w:pPr>
    <w:rPr>
      <w:rFonts w:ascii="Garamond" w:hAnsi="Garamond"/>
      <w:b/>
      <w:bCs/>
      <w:sz w:val="36"/>
    </w:rPr>
  </w:style>
  <w:style w:type="paragraph" w:styleId="Heading3">
    <w:name w:val="heading 3"/>
    <w:basedOn w:val="Normal"/>
    <w:next w:val="Normal"/>
    <w:link w:val="Heading3Char"/>
    <w:qFormat/>
    <w:rsid w:val="00CB0DB7"/>
    <w:pPr>
      <w:keepNext/>
      <w:bidi w:val="0"/>
      <w:jc w:val="lowKashida"/>
      <w:outlineLvl w:val="2"/>
    </w:pPr>
    <w:rPr>
      <w:rFonts w:ascii="Garamond" w:hAnsi="Garamond"/>
      <w:b/>
      <w:bCs/>
      <w:sz w:val="32"/>
    </w:rPr>
  </w:style>
  <w:style w:type="paragraph" w:styleId="Heading4">
    <w:name w:val="heading 4"/>
    <w:basedOn w:val="Normal"/>
    <w:next w:val="Normal"/>
    <w:qFormat/>
    <w:rsid w:val="00CB0DB7"/>
    <w:pPr>
      <w:keepNext/>
      <w:bidi w:val="0"/>
      <w:jc w:val="center"/>
      <w:outlineLvl w:val="3"/>
    </w:pPr>
    <w:rPr>
      <w:b/>
      <w:bCs/>
      <w:sz w:val="28"/>
    </w:rPr>
  </w:style>
  <w:style w:type="paragraph" w:styleId="Heading5">
    <w:name w:val="heading 5"/>
    <w:basedOn w:val="Normal"/>
    <w:next w:val="Normal"/>
    <w:qFormat/>
    <w:rsid w:val="00CB0DB7"/>
    <w:pPr>
      <w:keepNext/>
      <w:bidi w:val="0"/>
      <w:outlineLvl w:val="4"/>
    </w:pPr>
    <w:rPr>
      <w:b/>
      <w:bCs/>
    </w:rPr>
  </w:style>
  <w:style w:type="paragraph" w:styleId="Heading6">
    <w:name w:val="heading 6"/>
    <w:basedOn w:val="Normal"/>
    <w:next w:val="Normal"/>
    <w:qFormat/>
    <w:rsid w:val="00CB0DB7"/>
    <w:pPr>
      <w:keepNext/>
      <w:bidi w:val="0"/>
      <w:jc w:val="both"/>
      <w:outlineLvl w:val="5"/>
    </w:pPr>
    <w:rPr>
      <w:sz w:val="24"/>
      <w:szCs w:val="24"/>
    </w:rPr>
  </w:style>
  <w:style w:type="paragraph" w:styleId="Heading7">
    <w:name w:val="heading 7"/>
    <w:basedOn w:val="Normal"/>
    <w:next w:val="Normal"/>
    <w:qFormat/>
    <w:rsid w:val="00CB0DB7"/>
    <w:pPr>
      <w:keepNext/>
      <w:bidi w:val="0"/>
      <w:outlineLvl w:val="6"/>
    </w:pPr>
    <w:rPr>
      <w:sz w:val="28"/>
      <w:szCs w:val="28"/>
    </w:rPr>
  </w:style>
  <w:style w:type="paragraph" w:styleId="Heading8">
    <w:name w:val="heading 8"/>
    <w:basedOn w:val="Normal"/>
    <w:next w:val="Normal"/>
    <w:qFormat/>
    <w:rsid w:val="00CB0DB7"/>
    <w:pPr>
      <w:keepNext/>
      <w:bidi w:val="0"/>
      <w:jc w:val="both"/>
      <w:outlineLvl w:val="7"/>
    </w:pPr>
    <w:rPr>
      <w:b/>
      <w:bCs/>
      <w:sz w:val="28"/>
      <w:szCs w:val="28"/>
    </w:rPr>
  </w:style>
  <w:style w:type="paragraph" w:styleId="Heading9">
    <w:name w:val="heading 9"/>
    <w:basedOn w:val="Normal"/>
    <w:next w:val="Normal"/>
    <w:qFormat/>
    <w:rsid w:val="00CB0DB7"/>
    <w:pPr>
      <w:keepNext/>
      <w:bidi w:val="0"/>
      <w:outlineLvl w:val="8"/>
    </w:pPr>
    <w:rPr>
      <w:rFonts w:cs="Simplified Arabic"/>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semiHidden/>
    <w:rsid w:val="00CB0DB7"/>
    <w:pPr>
      <w:bidi w:val="0"/>
      <w:jc w:val="lowKashida"/>
    </w:pPr>
  </w:style>
  <w:style w:type="paragraph" w:styleId="BodyTextIndent">
    <w:name w:val="Body Text Indent"/>
    <w:basedOn w:val="Normal"/>
    <w:semiHidden/>
    <w:rsid w:val="00CB0DB7"/>
    <w:pPr>
      <w:bidi w:val="0"/>
      <w:ind w:left="426" w:hanging="426"/>
      <w:jc w:val="lowKashida"/>
    </w:pPr>
    <w:rPr>
      <w:rFonts w:ascii="Garamond" w:hAnsi="Garamond"/>
      <w:sz w:val="26"/>
    </w:rPr>
  </w:style>
  <w:style w:type="paragraph" w:styleId="Title">
    <w:name w:val="Title"/>
    <w:basedOn w:val="Normal"/>
    <w:link w:val="TitleChar"/>
    <w:qFormat/>
    <w:rsid w:val="00CB0DB7"/>
    <w:pPr>
      <w:bidi w:val="0"/>
      <w:jc w:val="center"/>
    </w:pPr>
    <w:rPr>
      <w:rFonts w:cs="Times New Roman"/>
      <w:b/>
      <w:bCs/>
      <w:sz w:val="22"/>
      <w:szCs w:val="28"/>
    </w:rPr>
  </w:style>
  <w:style w:type="character" w:styleId="Hyperlink">
    <w:name w:val="Hyperlink"/>
    <w:semiHidden/>
    <w:rsid w:val="00CB0DB7"/>
    <w:rPr>
      <w:color w:val="0000FF"/>
      <w:u w:val="single"/>
    </w:rPr>
  </w:style>
  <w:style w:type="paragraph" w:styleId="BodyText3">
    <w:name w:val="Body Text 3"/>
    <w:basedOn w:val="Normal"/>
    <w:link w:val="BodyText3Char"/>
    <w:semiHidden/>
    <w:rsid w:val="00CB0DB7"/>
    <w:pPr>
      <w:bidi w:val="0"/>
      <w:jc w:val="lowKashida"/>
    </w:pPr>
    <w:rPr>
      <w:b/>
      <w:bCs/>
      <w:sz w:val="28"/>
    </w:rPr>
  </w:style>
  <w:style w:type="paragraph" w:styleId="Header">
    <w:name w:val="header"/>
    <w:basedOn w:val="Normal"/>
    <w:link w:val="HeaderChar"/>
    <w:rsid w:val="00CB0DB7"/>
    <w:pPr>
      <w:tabs>
        <w:tab w:val="center" w:pos="4153"/>
        <w:tab w:val="right" w:pos="8306"/>
      </w:tabs>
    </w:pPr>
  </w:style>
  <w:style w:type="paragraph" w:styleId="Footer">
    <w:name w:val="footer"/>
    <w:basedOn w:val="Normal"/>
    <w:link w:val="FooterChar"/>
    <w:uiPriority w:val="99"/>
    <w:qFormat/>
    <w:rsid w:val="00CB0DB7"/>
    <w:pPr>
      <w:tabs>
        <w:tab w:val="center" w:pos="4153"/>
        <w:tab w:val="right" w:pos="8306"/>
      </w:tabs>
    </w:pPr>
    <w:rPr>
      <w:rFonts w:cs="Times New Roman"/>
    </w:rPr>
  </w:style>
  <w:style w:type="character" w:styleId="FollowedHyperlink">
    <w:name w:val="FollowedHyperlink"/>
    <w:semiHidden/>
    <w:rsid w:val="00CB0DB7"/>
    <w:rPr>
      <w:color w:val="800080"/>
      <w:u w:val="single"/>
    </w:rPr>
  </w:style>
  <w:style w:type="paragraph" w:styleId="BodyTextIndent2">
    <w:name w:val="Body Text Indent 2"/>
    <w:basedOn w:val="Normal"/>
    <w:semiHidden/>
    <w:rsid w:val="00CB0DB7"/>
    <w:pPr>
      <w:tabs>
        <w:tab w:val="decimal" w:pos="567"/>
      </w:tabs>
      <w:bidi w:val="0"/>
      <w:ind w:left="-360"/>
    </w:pPr>
    <w:rPr>
      <w:b/>
      <w:bCs/>
      <w:sz w:val="28"/>
    </w:rPr>
  </w:style>
  <w:style w:type="character" w:styleId="FootnoteReference">
    <w:name w:val="footnote reference"/>
    <w:semiHidden/>
    <w:rsid w:val="00CB0DB7"/>
    <w:rPr>
      <w:vertAlign w:val="superscript"/>
    </w:rPr>
  </w:style>
  <w:style w:type="paragraph" w:styleId="BodyText2">
    <w:name w:val="Body Text 2"/>
    <w:basedOn w:val="Normal"/>
    <w:link w:val="BodyText2Char"/>
    <w:semiHidden/>
    <w:rsid w:val="00CB0DB7"/>
    <w:pPr>
      <w:bidi w:val="0"/>
      <w:jc w:val="lowKashida"/>
    </w:pPr>
    <w:rPr>
      <w:rFonts w:cs="Times New Roman"/>
      <w:b/>
      <w:bCs/>
      <w:sz w:val="28"/>
      <w:szCs w:val="28"/>
    </w:rPr>
  </w:style>
  <w:style w:type="paragraph" w:customStyle="1" w:styleId="H1">
    <w:name w:val="H1"/>
    <w:basedOn w:val="Normal"/>
    <w:next w:val="Normal"/>
    <w:rsid w:val="00CB0DB7"/>
    <w:pPr>
      <w:keepNext/>
      <w:autoSpaceDE w:val="0"/>
      <w:autoSpaceDN w:val="0"/>
      <w:bidi w:val="0"/>
      <w:spacing w:before="100" w:after="100"/>
      <w:outlineLvl w:val="1"/>
    </w:pPr>
    <w:rPr>
      <w:rFonts w:cs="Times New Roman"/>
      <w:b/>
      <w:bCs/>
      <w:noProof w:val="0"/>
      <w:kern w:val="36"/>
      <w:sz w:val="48"/>
      <w:szCs w:val="48"/>
    </w:rPr>
  </w:style>
  <w:style w:type="character" w:styleId="PageNumber">
    <w:name w:val="page number"/>
    <w:semiHidden/>
    <w:rsid w:val="00CB0DB7"/>
    <w:rPr>
      <w:rFonts w:cs="Traditional Arabic"/>
    </w:rPr>
  </w:style>
  <w:style w:type="paragraph" w:styleId="BodyTextIndent3">
    <w:name w:val="Body Text Indent 3"/>
    <w:basedOn w:val="Normal"/>
    <w:semiHidden/>
    <w:rsid w:val="00CB0DB7"/>
    <w:pPr>
      <w:tabs>
        <w:tab w:val="left" w:pos="4395"/>
      </w:tabs>
      <w:bidi w:val="0"/>
      <w:ind w:left="-1"/>
      <w:jc w:val="lowKashida"/>
    </w:pPr>
    <w:rPr>
      <w:b/>
      <w:bCs/>
      <w:sz w:val="24"/>
      <w:szCs w:val="24"/>
    </w:rPr>
  </w:style>
  <w:style w:type="paragraph" w:styleId="BlockText">
    <w:name w:val="Block Text"/>
    <w:basedOn w:val="Normal"/>
    <w:rsid w:val="00CB0DB7"/>
    <w:pPr>
      <w:bidi w:val="0"/>
      <w:ind w:left="567" w:right="567"/>
      <w:jc w:val="lowKashida"/>
    </w:pPr>
    <w:rPr>
      <w:rFonts w:cs="Times New Roman"/>
      <w:b/>
      <w:bCs/>
      <w:noProof w:val="0"/>
      <w:sz w:val="24"/>
      <w:szCs w:val="24"/>
    </w:rPr>
  </w:style>
  <w:style w:type="paragraph" w:styleId="Subtitle">
    <w:name w:val="Subtitle"/>
    <w:basedOn w:val="Normal"/>
    <w:link w:val="SubtitleChar"/>
    <w:qFormat/>
    <w:rsid w:val="002F61B2"/>
    <w:pPr>
      <w:bidi w:val="0"/>
      <w:jc w:val="center"/>
    </w:pPr>
    <w:rPr>
      <w:rFonts w:ascii="Arial" w:hAnsi="Arial" w:cs="Times New Roman"/>
      <w:b/>
      <w:bCs/>
      <w:noProof w:val="0"/>
      <w:sz w:val="18"/>
    </w:rPr>
  </w:style>
  <w:style w:type="character" w:customStyle="1" w:styleId="SubtitleChar">
    <w:name w:val="Subtitle Char"/>
    <w:link w:val="Subtitle"/>
    <w:rsid w:val="002F61B2"/>
    <w:rPr>
      <w:rFonts w:ascii="Arial" w:hAnsi="Arial"/>
      <w:b/>
      <w:bCs/>
      <w:sz w:val="18"/>
    </w:rPr>
  </w:style>
  <w:style w:type="character" w:customStyle="1" w:styleId="hps">
    <w:name w:val="hps"/>
    <w:basedOn w:val="DefaultParagraphFont"/>
    <w:rsid w:val="0002726C"/>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02726C"/>
    <w:pPr>
      <w:ind w:left="720"/>
    </w:pPr>
    <w:rPr>
      <w:rFonts w:cs="Simplified Arabic"/>
      <w:sz w:val="24"/>
    </w:rPr>
  </w:style>
  <w:style w:type="paragraph" w:styleId="BalloonText">
    <w:name w:val="Balloon Text"/>
    <w:basedOn w:val="Normal"/>
    <w:link w:val="BalloonTextChar"/>
    <w:uiPriority w:val="99"/>
    <w:semiHidden/>
    <w:unhideWhenUsed/>
    <w:rsid w:val="009B76A6"/>
    <w:rPr>
      <w:rFonts w:ascii="Tahoma" w:hAnsi="Tahoma" w:cs="Times New Roman"/>
      <w:sz w:val="16"/>
      <w:szCs w:val="16"/>
    </w:rPr>
  </w:style>
  <w:style w:type="character" w:customStyle="1" w:styleId="BalloonTextChar">
    <w:name w:val="Balloon Text Char"/>
    <w:link w:val="BalloonText"/>
    <w:uiPriority w:val="99"/>
    <w:semiHidden/>
    <w:rsid w:val="009B76A6"/>
    <w:rPr>
      <w:rFonts w:ascii="Tahoma" w:hAnsi="Tahoma" w:cs="Tahoma"/>
      <w:noProof/>
      <w:sz w:val="16"/>
      <w:szCs w:val="16"/>
    </w:rPr>
  </w:style>
  <w:style w:type="character" w:customStyle="1" w:styleId="FooterChar">
    <w:name w:val="Footer Char"/>
    <w:link w:val="Footer"/>
    <w:uiPriority w:val="99"/>
    <w:rsid w:val="0095320A"/>
    <w:rPr>
      <w:noProof/>
    </w:rPr>
  </w:style>
  <w:style w:type="character" w:customStyle="1" w:styleId="shorttext">
    <w:name w:val="short_text"/>
    <w:basedOn w:val="DefaultParagraphFont"/>
    <w:rsid w:val="002B005F"/>
  </w:style>
  <w:style w:type="paragraph" w:styleId="PlainText">
    <w:name w:val="Plain Text"/>
    <w:basedOn w:val="Normal"/>
    <w:link w:val="PlainTextChar"/>
    <w:uiPriority w:val="99"/>
    <w:unhideWhenUsed/>
    <w:rsid w:val="001A76E3"/>
    <w:rPr>
      <w:rFonts w:ascii="Consolas" w:eastAsia="Calibri" w:hAnsi="Consolas" w:cs="Times New Roman"/>
      <w:noProof w:val="0"/>
      <w:sz w:val="21"/>
      <w:szCs w:val="21"/>
    </w:rPr>
  </w:style>
  <w:style w:type="character" w:customStyle="1" w:styleId="PlainTextChar">
    <w:name w:val="Plain Text Char"/>
    <w:link w:val="PlainText"/>
    <w:uiPriority w:val="99"/>
    <w:rsid w:val="001A76E3"/>
    <w:rPr>
      <w:rFonts w:ascii="Consolas" w:eastAsia="Calibri" w:hAnsi="Consolas" w:cs="Arial"/>
      <w:sz w:val="21"/>
      <w:szCs w:val="21"/>
    </w:rPr>
  </w:style>
  <w:style w:type="character" w:customStyle="1" w:styleId="alt-edited1">
    <w:name w:val="alt-edited1"/>
    <w:rsid w:val="004222AB"/>
    <w:rPr>
      <w:color w:val="4D90F0"/>
    </w:rPr>
  </w:style>
  <w:style w:type="character" w:styleId="CommentReference">
    <w:name w:val="annotation reference"/>
    <w:uiPriority w:val="99"/>
    <w:semiHidden/>
    <w:unhideWhenUsed/>
    <w:rsid w:val="000F647C"/>
    <w:rPr>
      <w:sz w:val="16"/>
      <w:szCs w:val="16"/>
    </w:rPr>
  </w:style>
  <w:style w:type="paragraph" w:styleId="CommentText">
    <w:name w:val="annotation text"/>
    <w:basedOn w:val="Normal"/>
    <w:link w:val="CommentTextChar"/>
    <w:uiPriority w:val="99"/>
    <w:semiHidden/>
    <w:unhideWhenUsed/>
    <w:rsid w:val="000F647C"/>
    <w:rPr>
      <w:rFonts w:cs="Times New Roman"/>
    </w:rPr>
  </w:style>
  <w:style w:type="character" w:customStyle="1" w:styleId="CommentTextChar">
    <w:name w:val="Comment Text Char"/>
    <w:link w:val="CommentText"/>
    <w:uiPriority w:val="99"/>
    <w:semiHidden/>
    <w:rsid w:val="000F647C"/>
    <w:rPr>
      <w:noProof/>
      <w:lang w:val="en-US" w:eastAsia="en-US"/>
    </w:rPr>
  </w:style>
  <w:style w:type="paragraph" w:styleId="CommentSubject">
    <w:name w:val="annotation subject"/>
    <w:basedOn w:val="CommentText"/>
    <w:next w:val="CommentText"/>
    <w:link w:val="CommentSubjectChar"/>
    <w:uiPriority w:val="99"/>
    <w:semiHidden/>
    <w:unhideWhenUsed/>
    <w:rsid w:val="000F647C"/>
    <w:rPr>
      <w:b/>
      <w:bCs/>
    </w:rPr>
  </w:style>
  <w:style w:type="character" w:customStyle="1" w:styleId="CommentSubjectChar">
    <w:name w:val="Comment Subject Char"/>
    <w:link w:val="CommentSubject"/>
    <w:uiPriority w:val="99"/>
    <w:semiHidden/>
    <w:rsid w:val="000F647C"/>
    <w:rPr>
      <w:b/>
      <w:bCs/>
      <w:noProof/>
      <w:lang w:val="en-US" w:eastAsia="en-US"/>
    </w:rPr>
  </w:style>
  <w:style w:type="character" w:customStyle="1" w:styleId="Heading3Char">
    <w:name w:val="Heading 3 Char"/>
    <w:basedOn w:val="DefaultParagraphFont"/>
    <w:link w:val="Heading3"/>
    <w:locked/>
    <w:rsid w:val="00250322"/>
    <w:rPr>
      <w:rFonts w:ascii="Garamond" w:hAnsi="Garamond"/>
      <w:b/>
      <w:bCs/>
      <w:noProof/>
      <w:sz w:val="32"/>
    </w:rPr>
  </w:style>
  <w:style w:type="table" w:styleId="TableGrid">
    <w:name w:val="Table Grid"/>
    <w:basedOn w:val="TableNormal"/>
    <w:uiPriority w:val="59"/>
    <w:rsid w:val="00234B5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semiHidden/>
    <w:rsid w:val="008D2FFB"/>
    <w:pPr>
      <w:overflowPunct w:val="0"/>
      <w:autoSpaceDE w:val="0"/>
      <w:autoSpaceDN w:val="0"/>
      <w:bidi w:val="0"/>
      <w:adjustRightInd w:val="0"/>
      <w:ind w:left="144" w:hanging="144"/>
      <w:textAlignment w:val="baseline"/>
    </w:pPr>
    <w:rPr>
      <w:rFonts w:cs="Times New Roman"/>
      <w:noProof w:val="0"/>
      <w:snapToGrid w:val="0"/>
      <w:sz w:val="14"/>
      <w:szCs w:val="14"/>
    </w:rPr>
  </w:style>
  <w:style w:type="character" w:customStyle="1" w:styleId="TitleChar">
    <w:name w:val="Title Char"/>
    <w:basedOn w:val="DefaultParagraphFont"/>
    <w:link w:val="Title"/>
    <w:locked/>
    <w:rsid w:val="00EA2EAE"/>
    <w:rPr>
      <w:rFonts w:cs="Times New Roman"/>
      <w:b/>
      <w:bCs/>
      <w:noProof/>
      <w:sz w:val="22"/>
      <w:szCs w:val="28"/>
    </w:rPr>
  </w:style>
  <w:style w:type="character" w:customStyle="1" w:styleId="HeaderChar">
    <w:name w:val="Header Char"/>
    <w:basedOn w:val="DefaultParagraphFont"/>
    <w:link w:val="Header"/>
    <w:rsid w:val="00126FF4"/>
    <w:rPr>
      <w:noProof/>
    </w:rPr>
  </w:style>
  <w:style w:type="paragraph" w:customStyle="1" w:styleId="Default">
    <w:name w:val="Default"/>
    <w:rsid w:val="00126FF4"/>
    <w:pPr>
      <w:autoSpaceDE w:val="0"/>
      <w:autoSpaceDN w:val="0"/>
      <w:adjustRightInd w:val="0"/>
    </w:pPr>
    <w:rPr>
      <w:rFonts w:ascii="Calibri" w:eastAsiaTheme="minorHAnsi" w:hAnsi="Calibri" w:cs="Calibri"/>
      <w:color w:val="000000"/>
      <w:sz w:val="24"/>
      <w:szCs w:val="24"/>
    </w:rPr>
  </w:style>
  <w:style w:type="table" w:styleId="LightGrid-Accent2">
    <w:name w:val="Light Grid Accent 2"/>
    <w:basedOn w:val="TableNormal"/>
    <w:uiPriority w:val="62"/>
    <w:rsid w:val="00126FF4"/>
    <w:rPr>
      <w:rFonts w:cs="Times New Roman"/>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320EB9"/>
    <w:rPr>
      <w:rFonts w:cs="Simplified Arabic"/>
      <w:noProof/>
      <w:sz w:val="24"/>
    </w:rPr>
  </w:style>
  <w:style w:type="paragraph" w:styleId="NoSpacing">
    <w:name w:val="No Spacing"/>
    <w:uiPriority w:val="1"/>
    <w:qFormat/>
    <w:rsid w:val="00F232F7"/>
    <w:rPr>
      <w:rFonts w:asciiTheme="minorHAnsi" w:eastAsiaTheme="minorHAnsi" w:hAnsiTheme="minorHAnsi" w:cstheme="minorBidi"/>
      <w:sz w:val="22"/>
      <w:szCs w:val="22"/>
    </w:rPr>
  </w:style>
  <w:style w:type="paragraph" w:styleId="Caption">
    <w:name w:val="caption"/>
    <w:basedOn w:val="Normal"/>
    <w:next w:val="Normal"/>
    <w:qFormat/>
    <w:rsid w:val="00416163"/>
    <w:pPr>
      <w:jc w:val="center"/>
    </w:pPr>
    <w:rPr>
      <w:rFonts w:cs="Simplified Arabic"/>
      <w:b/>
      <w:bCs/>
      <w:noProof w:val="0"/>
      <w:szCs w:val="56"/>
    </w:rPr>
  </w:style>
  <w:style w:type="character" w:customStyle="1" w:styleId="rynqvb">
    <w:name w:val="rynqvb"/>
    <w:basedOn w:val="DefaultParagraphFont"/>
    <w:rsid w:val="00FB548C"/>
  </w:style>
  <w:style w:type="character" w:customStyle="1" w:styleId="BodyText2Char">
    <w:name w:val="Body Text 2 Char"/>
    <w:basedOn w:val="DefaultParagraphFont"/>
    <w:link w:val="BodyText2"/>
    <w:semiHidden/>
    <w:rsid w:val="001A5244"/>
    <w:rPr>
      <w:rFonts w:cs="Times New Roman"/>
      <w:b/>
      <w:bCs/>
      <w:noProof/>
      <w:sz w:val="28"/>
      <w:szCs w:val="28"/>
    </w:rPr>
  </w:style>
  <w:style w:type="paragraph" w:styleId="FootnoteText">
    <w:name w:val="footnote text"/>
    <w:basedOn w:val="Normal"/>
    <w:link w:val="FootnoteTextChar"/>
    <w:uiPriority w:val="99"/>
    <w:semiHidden/>
    <w:unhideWhenUsed/>
    <w:rsid w:val="006609C6"/>
  </w:style>
  <w:style w:type="character" w:customStyle="1" w:styleId="FootnoteTextChar">
    <w:name w:val="Footnote Text Char"/>
    <w:basedOn w:val="DefaultParagraphFont"/>
    <w:link w:val="FootnoteText"/>
    <w:uiPriority w:val="99"/>
    <w:semiHidden/>
    <w:rsid w:val="006609C6"/>
    <w:rPr>
      <w:noProof/>
    </w:rPr>
  </w:style>
  <w:style w:type="character" w:customStyle="1" w:styleId="BodyText3Char">
    <w:name w:val="Body Text 3 Char"/>
    <w:basedOn w:val="DefaultParagraphFont"/>
    <w:link w:val="BodyText3"/>
    <w:semiHidden/>
    <w:rsid w:val="00805739"/>
    <w:rPr>
      <w:b/>
      <w:bCs/>
      <w:noProof/>
      <w:sz w:val="28"/>
    </w:rPr>
  </w:style>
  <w:style w:type="paragraph" w:styleId="NormalWeb">
    <w:name w:val="Normal (Web)"/>
    <w:basedOn w:val="Normal"/>
    <w:uiPriority w:val="99"/>
    <w:unhideWhenUsed/>
    <w:rsid w:val="00F87E70"/>
    <w:pPr>
      <w:bidi w:val="0"/>
      <w:spacing w:before="100" w:beforeAutospacing="1" w:after="100" w:afterAutospacing="1"/>
    </w:pPr>
    <w:rPr>
      <w:rFonts w:cs="Times New Roman"/>
      <w:noProof w:val="0"/>
      <w:sz w:val="24"/>
      <w:szCs w:val="24"/>
    </w:rPr>
  </w:style>
  <w:style w:type="character" w:customStyle="1" w:styleId="longtext">
    <w:name w:val="long_text"/>
    <w:basedOn w:val="DefaultParagraphFont"/>
    <w:rsid w:val="00810F4B"/>
  </w:style>
  <w:style w:type="character" w:styleId="Strong">
    <w:name w:val="Strong"/>
    <w:basedOn w:val="DefaultParagraphFont"/>
    <w:uiPriority w:val="22"/>
    <w:qFormat/>
    <w:rsid w:val="00F97D0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199035">
      <w:bodyDiv w:val="1"/>
      <w:marLeft w:val="0"/>
      <w:marRight w:val="0"/>
      <w:marTop w:val="0"/>
      <w:marBottom w:val="0"/>
      <w:divBdr>
        <w:top w:val="none" w:sz="0" w:space="0" w:color="auto"/>
        <w:left w:val="none" w:sz="0" w:space="0" w:color="auto"/>
        <w:bottom w:val="none" w:sz="0" w:space="0" w:color="auto"/>
        <w:right w:val="none" w:sz="0" w:space="0" w:color="auto"/>
      </w:divBdr>
    </w:div>
    <w:div w:id="112790814">
      <w:bodyDiv w:val="1"/>
      <w:marLeft w:val="0"/>
      <w:marRight w:val="0"/>
      <w:marTop w:val="0"/>
      <w:marBottom w:val="0"/>
      <w:divBdr>
        <w:top w:val="none" w:sz="0" w:space="0" w:color="auto"/>
        <w:left w:val="none" w:sz="0" w:space="0" w:color="auto"/>
        <w:bottom w:val="none" w:sz="0" w:space="0" w:color="auto"/>
        <w:right w:val="none" w:sz="0" w:space="0" w:color="auto"/>
      </w:divBdr>
    </w:div>
    <w:div w:id="260453121">
      <w:bodyDiv w:val="1"/>
      <w:marLeft w:val="0"/>
      <w:marRight w:val="0"/>
      <w:marTop w:val="0"/>
      <w:marBottom w:val="0"/>
      <w:divBdr>
        <w:top w:val="none" w:sz="0" w:space="0" w:color="auto"/>
        <w:left w:val="none" w:sz="0" w:space="0" w:color="auto"/>
        <w:bottom w:val="none" w:sz="0" w:space="0" w:color="auto"/>
        <w:right w:val="none" w:sz="0" w:space="0" w:color="auto"/>
      </w:divBdr>
    </w:div>
    <w:div w:id="321398785">
      <w:bodyDiv w:val="1"/>
      <w:marLeft w:val="0"/>
      <w:marRight w:val="0"/>
      <w:marTop w:val="0"/>
      <w:marBottom w:val="0"/>
      <w:divBdr>
        <w:top w:val="none" w:sz="0" w:space="0" w:color="auto"/>
        <w:left w:val="none" w:sz="0" w:space="0" w:color="auto"/>
        <w:bottom w:val="none" w:sz="0" w:space="0" w:color="auto"/>
        <w:right w:val="none" w:sz="0" w:space="0" w:color="auto"/>
      </w:divBdr>
    </w:div>
    <w:div w:id="410085788">
      <w:bodyDiv w:val="1"/>
      <w:marLeft w:val="0"/>
      <w:marRight w:val="0"/>
      <w:marTop w:val="0"/>
      <w:marBottom w:val="0"/>
      <w:divBdr>
        <w:top w:val="none" w:sz="0" w:space="0" w:color="auto"/>
        <w:left w:val="none" w:sz="0" w:space="0" w:color="auto"/>
        <w:bottom w:val="none" w:sz="0" w:space="0" w:color="auto"/>
        <w:right w:val="none" w:sz="0" w:space="0" w:color="auto"/>
      </w:divBdr>
    </w:div>
    <w:div w:id="469328362">
      <w:bodyDiv w:val="1"/>
      <w:marLeft w:val="0"/>
      <w:marRight w:val="0"/>
      <w:marTop w:val="0"/>
      <w:marBottom w:val="0"/>
      <w:divBdr>
        <w:top w:val="none" w:sz="0" w:space="0" w:color="auto"/>
        <w:left w:val="none" w:sz="0" w:space="0" w:color="auto"/>
        <w:bottom w:val="none" w:sz="0" w:space="0" w:color="auto"/>
        <w:right w:val="none" w:sz="0" w:space="0" w:color="auto"/>
      </w:divBdr>
    </w:div>
    <w:div w:id="538709628">
      <w:bodyDiv w:val="1"/>
      <w:marLeft w:val="0"/>
      <w:marRight w:val="0"/>
      <w:marTop w:val="0"/>
      <w:marBottom w:val="0"/>
      <w:divBdr>
        <w:top w:val="none" w:sz="0" w:space="0" w:color="auto"/>
        <w:left w:val="none" w:sz="0" w:space="0" w:color="auto"/>
        <w:bottom w:val="none" w:sz="0" w:space="0" w:color="auto"/>
        <w:right w:val="none" w:sz="0" w:space="0" w:color="auto"/>
      </w:divBdr>
    </w:div>
    <w:div w:id="557010207">
      <w:bodyDiv w:val="1"/>
      <w:marLeft w:val="0"/>
      <w:marRight w:val="0"/>
      <w:marTop w:val="0"/>
      <w:marBottom w:val="0"/>
      <w:divBdr>
        <w:top w:val="none" w:sz="0" w:space="0" w:color="auto"/>
        <w:left w:val="none" w:sz="0" w:space="0" w:color="auto"/>
        <w:bottom w:val="none" w:sz="0" w:space="0" w:color="auto"/>
        <w:right w:val="none" w:sz="0" w:space="0" w:color="auto"/>
      </w:divBdr>
    </w:div>
    <w:div w:id="622468364">
      <w:bodyDiv w:val="1"/>
      <w:marLeft w:val="0"/>
      <w:marRight w:val="0"/>
      <w:marTop w:val="0"/>
      <w:marBottom w:val="0"/>
      <w:divBdr>
        <w:top w:val="none" w:sz="0" w:space="0" w:color="auto"/>
        <w:left w:val="none" w:sz="0" w:space="0" w:color="auto"/>
        <w:bottom w:val="none" w:sz="0" w:space="0" w:color="auto"/>
        <w:right w:val="none" w:sz="0" w:space="0" w:color="auto"/>
      </w:divBdr>
    </w:div>
    <w:div w:id="761294391">
      <w:bodyDiv w:val="1"/>
      <w:marLeft w:val="0"/>
      <w:marRight w:val="0"/>
      <w:marTop w:val="0"/>
      <w:marBottom w:val="0"/>
      <w:divBdr>
        <w:top w:val="none" w:sz="0" w:space="0" w:color="auto"/>
        <w:left w:val="none" w:sz="0" w:space="0" w:color="auto"/>
        <w:bottom w:val="none" w:sz="0" w:space="0" w:color="auto"/>
        <w:right w:val="none" w:sz="0" w:space="0" w:color="auto"/>
      </w:divBdr>
    </w:div>
    <w:div w:id="850683900">
      <w:bodyDiv w:val="1"/>
      <w:marLeft w:val="0"/>
      <w:marRight w:val="0"/>
      <w:marTop w:val="0"/>
      <w:marBottom w:val="0"/>
      <w:divBdr>
        <w:top w:val="none" w:sz="0" w:space="0" w:color="auto"/>
        <w:left w:val="none" w:sz="0" w:space="0" w:color="auto"/>
        <w:bottom w:val="none" w:sz="0" w:space="0" w:color="auto"/>
        <w:right w:val="none" w:sz="0" w:space="0" w:color="auto"/>
      </w:divBdr>
    </w:div>
    <w:div w:id="875119726">
      <w:bodyDiv w:val="1"/>
      <w:marLeft w:val="0"/>
      <w:marRight w:val="0"/>
      <w:marTop w:val="0"/>
      <w:marBottom w:val="0"/>
      <w:divBdr>
        <w:top w:val="none" w:sz="0" w:space="0" w:color="auto"/>
        <w:left w:val="none" w:sz="0" w:space="0" w:color="auto"/>
        <w:bottom w:val="none" w:sz="0" w:space="0" w:color="auto"/>
        <w:right w:val="none" w:sz="0" w:space="0" w:color="auto"/>
      </w:divBdr>
    </w:div>
    <w:div w:id="1016232864">
      <w:bodyDiv w:val="1"/>
      <w:marLeft w:val="0"/>
      <w:marRight w:val="0"/>
      <w:marTop w:val="0"/>
      <w:marBottom w:val="0"/>
      <w:divBdr>
        <w:top w:val="none" w:sz="0" w:space="0" w:color="auto"/>
        <w:left w:val="none" w:sz="0" w:space="0" w:color="auto"/>
        <w:bottom w:val="none" w:sz="0" w:space="0" w:color="auto"/>
        <w:right w:val="none" w:sz="0" w:space="0" w:color="auto"/>
      </w:divBdr>
    </w:div>
    <w:div w:id="1054741903">
      <w:bodyDiv w:val="1"/>
      <w:marLeft w:val="0"/>
      <w:marRight w:val="0"/>
      <w:marTop w:val="0"/>
      <w:marBottom w:val="0"/>
      <w:divBdr>
        <w:top w:val="none" w:sz="0" w:space="0" w:color="auto"/>
        <w:left w:val="none" w:sz="0" w:space="0" w:color="auto"/>
        <w:bottom w:val="none" w:sz="0" w:space="0" w:color="auto"/>
        <w:right w:val="none" w:sz="0" w:space="0" w:color="auto"/>
      </w:divBdr>
      <w:divsChild>
        <w:div w:id="1967197076">
          <w:marLeft w:val="0"/>
          <w:marRight w:val="0"/>
          <w:marTop w:val="0"/>
          <w:marBottom w:val="0"/>
          <w:divBdr>
            <w:top w:val="none" w:sz="0" w:space="0" w:color="auto"/>
            <w:left w:val="none" w:sz="0" w:space="0" w:color="auto"/>
            <w:bottom w:val="none" w:sz="0" w:space="0" w:color="auto"/>
            <w:right w:val="none" w:sz="0" w:space="0" w:color="auto"/>
          </w:divBdr>
          <w:divsChild>
            <w:div w:id="907033590">
              <w:marLeft w:val="0"/>
              <w:marRight w:val="0"/>
              <w:marTop w:val="0"/>
              <w:marBottom w:val="0"/>
              <w:divBdr>
                <w:top w:val="none" w:sz="0" w:space="0" w:color="auto"/>
                <w:left w:val="none" w:sz="0" w:space="0" w:color="auto"/>
                <w:bottom w:val="none" w:sz="0" w:space="0" w:color="auto"/>
                <w:right w:val="none" w:sz="0" w:space="0" w:color="auto"/>
              </w:divBdr>
              <w:divsChild>
                <w:div w:id="1470973171">
                  <w:marLeft w:val="0"/>
                  <w:marRight w:val="0"/>
                  <w:marTop w:val="0"/>
                  <w:marBottom w:val="0"/>
                  <w:divBdr>
                    <w:top w:val="none" w:sz="0" w:space="0" w:color="auto"/>
                    <w:left w:val="none" w:sz="0" w:space="0" w:color="auto"/>
                    <w:bottom w:val="none" w:sz="0" w:space="0" w:color="auto"/>
                    <w:right w:val="none" w:sz="0" w:space="0" w:color="auto"/>
                  </w:divBdr>
                  <w:divsChild>
                    <w:div w:id="53454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8839630">
      <w:bodyDiv w:val="1"/>
      <w:marLeft w:val="0"/>
      <w:marRight w:val="0"/>
      <w:marTop w:val="0"/>
      <w:marBottom w:val="0"/>
      <w:divBdr>
        <w:top w:val="none" w:sz="0" w:space="0" w:color="auto"/>
        <w:left w:val="none" w:sz="0" w:space="0" w:color="auto"/>
        <w:bottom w:val="none" w:sz="0" w:space="0" w:color="auto"/>
        <w:right w:val="none" w:sz="0" w:space="0" w:color="auto"/>
      </w:divBdr>
    </w:div>
    <w:div w:id="1137143714">
      <w:bodyDiv w:val="1"/>
      <w:marLeft w:val="0"/>
      <w:marRight w:val="0"/>
      <w:marTop w:val="0"/>
      <w:marBottom w:val="0"/>
      <w:divBdr>
        <w:top w:val="none" w:sz="0" w:space="0" w:color="auto"/>
        <w:left w:val="none" w:sz="0" w:space="0" w:color="auto"/>
        <w:bottom w:val="none" w:sz="0" w:space="0" w:color="auto"/>
        <w:right w:val="none" w:sz="0" w:space="0" w:color="auto"/>
      </w:divBdr>
      <w:divsChild>
        <w:div w:id="145053937">
          <w:marLeft w:val="0"/>
          <w:marRight w:val="0"/>
          <w:marTop w:val="0"/>
          <w:marBottom w:val="0"/>
          <w:divBdr>
            <w:top w:val="none" w:sz="0" w:space="0" w:color="auto"/>
            <w:left w:val="none" w:sz="0" w:space="0" w:color="auto"/>
            <w:bottom w:val="none" w:sz="0" w:space="0" w:color="auto"/>
            <w:right w:val="none" w:sz="0" w:space="0" w:color="auto"/>
          </w:divBdr>
          <w:divsChild>
            <w:div w:id="559748811">
              <w:marLeft w:val="0"/>
              <w:marRight w:val="0"/>
              <w:marTop w:val="0"/>
              <w:marBottom w:val="0"/>
              <w:divBdr>
                <w:top w:val="none" w:sz="0" w:space="0" w:color="auto"/>
                <w:left w:val="none" w:sz="0" w:space="0" w:color="auto"/>
                <w:bottom w:val="none" w:sz="0" w:space="0" w:color="auto"/>
                <w:right w:val="none" w:sz="0" w:space="0" w:color="auto"/>
              </w:divBdr>
              <w:divsChild>
                <w:div w:id="2083602164">
                  <w:marLeft w:val="0"/>
                  <w:marRight w:val="0"/>
                  <w:marTop w:val="0"/>
                  <w:marBottom w:val="0"/>
                  <w:divBdr>
                    <w:top w:val="none" w:sz="0" w:space="0" w:color="auto"/>
                    <w:left w:val="none" w:sz="0" w:space="0" w:color="auto"/>
                    <w:bottom w:val="none" w:sz="0" w:space="0" w:color="auto"/>
                    <w:right w:val="none" w:sz="0" w:space="0" w:color="auto"/>
                  </w:divBdr>
                  <w:divsChild>
                    <w:div w:id="1893618397">
                      <w:marLeft w:val="0"/>
                      <w:marRight w:val="0"/>
                      <w:marTop w:val="0"/>
                      <w:marBottom w:val="0"/>
                      <w:divBdr>
                        <w:top w:val="none" w:sz="0" w:space="0" w:color="auto"/>
                        <w:left w:val="none" w:sz="0" w:space="0" w:color="auto"/>
                        <w:bottom w:val="none" w:sz="0" w:space="0" w:color="auto"/>
                        <w:right w:val="none" w:sz="0" w:space="0" w:color="auto"/>
                      </w:divBdr>
                      <w:divsChild>
                        <w:div w:id="1081103082">
                          <w:marLeft w:val="0"/>
                          <w:marRight w:val="0"/>
                          <w:marTop w:val="0"/>
                          <w:marBottom w:val="0"/>
                          <w:divBdr>
                            <w:top w:val="none" w:sz="0" w:space="0" w:color="auto"/>
                            <w:left w:val="none" w:sz="0" w:space="0" w:color="auto"/>
                            <w:bottom w:val="none" w:sz="0" w:space="0" w:color="auto"/>
                            <w:right w:val="none" w:sz="0" w:space="0" w:color="auto"/>
                          </w:divBdr>
                          <w:divsChild>
                            <w:div w:id="370151086">
                              <w:marLeft w:val="0"/>
                              <w:marRight w:val="0"/>
                              <w:marTop w:val="0"/>
                              <w:marBottom w:val="0"/>
                              <w:divBdr>
                                <w:top w:val="none" w:sz="0" w:space="0" w:color="auto"/>
                                <w:left w:val="none" w:sz="0" w:space="0" w:color="auto"/>
                                <w:bottom w:val="none" w:sz="0" w:space="0" w:color="auto"/>
                                <w:right w:val="none" w:sz="0" w:space="0" w:color="auto"/>
                              </w:divBdr>
                              <w:divsChild>
                                <w:div w:id="166336888">
                                  <w:marLeft w:val="0"/>
                                  <w:marRight w:val="0"/>
                                  <w:marTop w:val="0"/>
                                  <w:marBottom w:val="0"/>
                                  <w:divBdr>
                                    <w:top w:val="single" w:sz="6" w:space="0" w:color="F5F5F5"/>
                                    <w:left w:val="single" w:sz="6" w:space="0" w:color="F5F5F5"/>
                                    <w:bottom w:val="single" w:sz="6" w:space="0" w:color="F5F5F5"/>
                                    <w:right w:val="single" w:sz="6" w:space="0" w:color="F5F5F5"/>
                                  </w:divBdr>
                                  <w:divsChild>
                                    <w:div w:id="526796618">
                                      <w:marLeft w:val="0"/>
                                      <w:marRight w:val="0"/>
                                      <w:marTop w:val="0"/>
                                      <w:marBottom w:val="0"/>
                                      <w:divBdr>
                                        <w:top w:val="none" w:sz="0" w:space="0" w:color="auto"/>
                                        <w:left w:val="none" w:sz="0" w:space="0" w:color="auto"/>
                                        <w:bottom w:val="none" w:sz="0" w:space="0" w:color="auto"/>
                                        <w:right w:val="none" w:sz="0" w:space="0" w:color="auto"/>
                                      </w:divBdr>
                                      <w:divsChild>
                                        <w:div w:id="870726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6165183">
      <w:bodyDiv w:val="1"/>
      <w:marLeft w:val="0"/>
      <w:marRight w:val="0"/>
      <w:marTop w:val="0"/>
      <w:marBottom w:val="0"/>
      <w:divBdr>
        <w:top w:val="none" w:sz="0" w:space="0" w:color="auto"/>
        <w:left w:val="none" w:sz="0" w:space="0" w:color="auto"/>
        <w:bottom w:val="none" w:sz="0" w:space="0" w:color="auto"/>
        <w:right w:val="none" w:sz="0" w:space="0" w:color="auto"/>
      </w:divBdr>
    </w:div>
    <w:div w:id="1379862765">
      <w:bodyDiv w:val="1"/>
      <w:marLeft w:val="0"/>
      <w:marRight w:val="0"/>
      <w:marTop w:val="0"/>
      <w:marBottom w:val="0"/>
      <w:divBdr>
        <w:top w:val="none" w:sz="0" w:space="0" w:color="auto"/>
        <w:left w:val="none" w:sz="0" w:space="0" w:color="auto"/>
        <w:bottom w:val="none" w:sz="0" w:space="0" w:color="auto"/>
        <w:right w:val="none" w:sz="0" w:space="0" w:color="auto"/>
      </w:divBdr>
    </w:div>
    <w:div w:id="1564371924">
      <w:bodyDiv w:val="1"/>
      <w:marLeft w:val="0"/>
      <w:marRight w:val="0"/>
      <w:marTop w:val="0"/>
      <w:marBottom w:val="0"/>
      <w:divBdr>
        <w:top w:val="none" w:sz="0" w:space="0" w:color="auto"/>
        <w:left w:val="none" w:sz="0" w:space="0" w:color="auto"/>
        <w:bottom w:val="none" w:sz="0" w:space="0" w:color="auto"/>
        <w:right w:val="none" w:sz="0" w:space="0" w:color="auto"/>
      </w:divBdr>
    </w:div>
    <w:div w:id="1573394189">
      <w:bodyDiv w:val="1"/>
      <w:marLeft w:val="0"/>
      <w:marRight w:val="0"/>
      <w:marTop w:val="0"/>
      <w:marBottom w:val="0"/>
      <w:divBdr>
        <w:top w:val="none" w:sz="0" w:space="0" w:color="auto"/>
        <w:left w:val="none" w:sz="0" w:space="0" w:color="auto"/>
        <w:bottom w:val="none" w:sz="0" w:space="0" w:color="auto"/>
        <w:right w:val="none" w:sz="0" w:space="0" w:color="auto"/>
      </w:divBdr>
    </w:div>
    <w:div w:id="1580365359">
      <w:bodyDiv w:val="1"/>
      <w:marLeft w:val="0"/>
      <w:marRight w:val="0"/>
      <w:marTop w:val="0"/>
      <w:marBottom w:val="0"/>
      <w:divBdr>
        <w:top w:val="none" w:sz="0" w:space="0" w:color="auto"/>
        <w:left w:val="none" w:sz="0" w:space="0" w:color="auto"/>
        <w:bottom w:val="none" w:sz="0" w:space="0" w:color="auto"/>
        <w:right w:val="none" w:sz="0" w:space="0" w:color="auto"/>
      </w:divBdr>
      <w:divsChild>
        <w:div w:id="1557089394">
          <w:marLeft w:val="0"/>
          <w:marRight w:val="0"/>
          <w:marTop w:val="0"/>
          <w:marBottom w:val="0"/>
          <w:divBdr>
            <w:top w:val="none" w:sz="0" w:space="0" w:color="auto"/>
            <w:left w:val="none" w:sz="0" w:space="0" w:color="auto"/>
            <w:bottom w:val="none" w:sz="0" w:space="0" w:color="auto"/>
            <w:right w:val="none" w:sz="0" w:space="0" w:color="auto"/>
          </w:divBdr>
          <w:divsChild>
            <w:div w:id="1371149079">
              <w:marLeft w:val="0"/>
              <w:marRight w:val="0"/>
              <w:marTop w:val="0"/>
              <w:marBottom w:val="0"/>
              <w:divBdr>
                <w:top w:val="none" w:sz="0" w:space="0" w:color="auto"/>
                <w:left w:val="none" w:sz="0" w:space="0" w:color="auto"/>
                <w:bottom w:val="none" w:sz="0" w:space="0" w:color="auto"/>
                <w:right w:val="none" w:sz="0" w:space="0" w:color="auto"/>
              </w:divBdr>
              <w:divsChild>
                <w:div w:id="1130973">
                  <w:marLeft w:val="0"/>
                  <w:marRight w:val="0"/>
                  <w:marTop w:val="0"/>
                  <w:marBottom w:val="0"/>
                  <w:divBdr>
                    <w:top w:val="none" w:sz="0" w:space="0" w:color="auto"/>
                    <w:left w:val="none" w:sz="0" w:space="0" w:color="auto"/>
                    <w:bottom w:val="none" w:sz="0" w:space="0" w:color="auto"/>
                    <w:right w:val="none" w:sz="0" w:space="0" w:color="auto"/>
                  </w:divBdr>
                  <w:divsChild>
                    <w:div w:id="1913153006">
                      <w:marLeft w:val="0"/>
                      <w:marRight w:val="0"/>
                      <w:marTop w:val="0"/>
                      <w:marBottom w:val="0"/>
                      <w:divBdr>
                        <w:top w:val="none" w:sz="0" w:space="0" w:color="auto"/>
                        <w:left w:val="none" w:sz="0" w:space="0" w:color="auto"/>
                        <w:bottom w:val="none" w:sz="0" w:space="0" w:color="auto"/>
                        <w:right w:val="none" w:sz="0" w:space="0" w:color="auto"/>
                      </w:divBdr>
                      <w:divsChild>
                        <w:div w:id="1625307413">
                          <w:marLeft w:val="0"/>
                          <w:marRight w:val="0"/>
                          <w:marTop w:val="0"/>
                          <w:marBottom w:val="0"/>
                          <w:divBdr>
                            <w:top w:val="none" w:sz="0" w:space="0" w:color="auto"/>
                            <w:left w:val="none" w:sz="0" w:space="0" w:color="auto"/>
                            <w:bottom w:val="none" w:sz="0" w:space="0" w:color="auto"/>
                            <w:right w:val="none" w:sz="0" w:space="0" w:color="auto"/>
                          </w:divBdr>
                          <w:divsChild>
                            <w:div w:id="615332674">
                              <w:marLeft w:val="0"/>
                              <w:marRight w:val="0"/>
                              <w:marTop w:val="0"/>
                              <w:marBottom w:val="0"/>
                              <w:divBdr>
                                <w:top w:val="none" w:sz="0" w:space="0" w:color="auto"/>
                                <w:left w:val="none" w:sz="0" w:space="0" w:color="auto"/>
                                <w:bottom w:val="none" w:sz="0" w:space="0" w:color="auto"/>
                                <w:right w:val="none" w:sz="0" w:space="0" w:color="auto"/>
                              </w:divBdr>
                              <w:divsChild>
                                <w:div w:id="2066709710">
                                  <w:marLeft w:val="0"/>
                                  <w:marRight w:val="0"/>
                                  <w:marTop w:val="0"/>
                                  <w:marBottom w:val="0"/>
                                  <w:divBdr>
                                    <w:top w:val="single" w:sz="6" w:space="0" w:color="F5F5F5"/>
                                    <w:left w:val="single" w:sz="6" w:space="0" w:color="F5F5F5"/>
                                    <w:bottom w:val="single" w:sz="6" w:space="0" w:color="F5F5F5"/>
                                    <w:right w:val="single" w:sz="6" w:space="0" w:color="F5F5F5"/>
                                  </w:divBdr>
                                  <w:divsChild>
                                    <w:div w:id="1400592930">
                                      <w:marLeft w:val="0"/>
                                      <w:marRight w:val="0"/>
                                      <w:marTop w:val="0"/>
                                      <w:marBottom w:val="0"/>
                                      <w:divBdr>
                                        <w:top w:val="none" w:sz="0" w:space="0" w:color="auto"/>
                                        <w:left w:val="none" w:sz="0" w:space="0" w:color="auto"/>
                                        <w:bottom w:val="none" w:sz="0" w:space="0" w:color="auto"/>
                                        <w:right w:val="none" w:sz="0" w:space="0" w:color="auto"/>
                                      </w:divBdr>
                                      <w:divsChild>
                                        <w:div w:id="1602646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58722254">
      <w:bodyDiv w:val="1"/>
      <w:marLeft w:val="0"/>
      <w:marRight w:val="0"/>
      <w:marTop w:val="0"/>
      <w:marBottom w:val="0"/>
      <w:divBdr>
        <w:top w:val="none" w:sz="0" w:space="0" w:color="auto"/>
        <w:left w:val="none" w:sz="0" w:space="0" w:color="auto"/>
        <w:bottom w:val="none" w:sz="0" w:space="0" w:color="auto"/>
        <w:right w:val="none" w:sz="0" w:space="0" w:color="auto"/>
      </w:divBdr>
    </w:div>
    <w:div w:id="1659382345">
      <w:bodyDiv w:val="1"/>
      <w:marLeft w:val="0"/>
      <w:marRight w:val="0"/>
      <w:marTop w:val="0"/>
      <w:marBottom w:val="0"/>
      <w:divBdr>
        <w:top w:val="none" w:sz="0" w:space="0" w:color="auto"/>
        <w:left w:val="none" w:sz="0" w:space="0" w:color="auto"/>
        <w:bottom w:val="none" w:sz="0" w:space="0" w:color="auto"/>
        <w:right w:val="none" w:sz="0" w:space="0" w:color="auto"/>
      </w:divBdr>
    </w:div>
    <w:div w:id="1727680450">
      <w:bodyDiv w:val="1"/>
      <w:marLeft w:val="0"/>
      <w:marRight w:val="0"/>
      <w:marTop w:val="0"/>
      <w:marBottom w:val="0"/>
      <w:divBdr>
        <w:top w:val="none" w:sz="0" w:space="0" w:color="auto"/>
        <w:left w:val="none" w:sz="0" w:space="0" w:color="auto"/>
        <w:bottom w:val="none" w:sz="0" w:space="0" w:color="auto"/>
        <w:right w:val="none" w:sz="0" w:space="0" w:color="auto"/>
      </w:divBdr>
    </w:div>
    <w:div w:id="1732386493">
      <w:bodyDiv w:val="1"/>
      <w:marLeft w:val="0"/>
      <w:marRight w:val="0"/>
      <w:marTop w:val="0"/>
      <w:marBottom w:val="0"/>
      <w:divBdr>
        <w:top w:val="none" w:sz="0" w:space="0" w:color="auto"/>
        <w:left w:val="none" w:sz="0" w:space="0" w:color="auto"/>
        <w:bottom w:val="none" w:sz="0" w:space="0" w:color="auto"/>
        <w:right w:val="none" w:sz="0" w:space="0" w:color="auto"/>
      </w:divBdr>
    </w:div>
    <w:div w:id="1767919095">
      <w:bodyDiv w:val="1"/>
      <w:marLeft w:val="0"/>
      <w:marRight w:val="0"/>
      <w:marTop w:val="0"/>
      <w:marBottom w:val="0"/>
      <w:divBdr>
        <w:top w:val="none" w:sz="0" w:space="0" w:color="auto"/>
        <w:left w:val="none" w:sz="0" w:space="0" w:color="auto"/>
        <w:bottom w:val="none" w:sz="0" w:space="0" w:color="auto"/>
        <w:right w:val="none" w:sz="0" w:space="0" w:color="auto"/>
      </w:divBdr>
      <w:divsChild>
        <w:div w:id="1909610838">
          <w:marLeft w:val="0"/>
          <w:marRight w:val="0"/>
          <w:marTop w:val="0"/>
          <w:marBottom w:val="0"/>
          <w:divBdr>
            <w:top w:val="none" w:sz="0" w:space="0" w:color="auto"/>
            <w:left w:val="none" w:sz="0" w:space="0" w:color="auto"/>
            <w:bottom w:val="none" w:sz="0" w:space="0" w:color="auto"/>
            <w:right w:val="none" w:sz="0" w:space="0" w:color="auto"/>
          </w:divBdr>
          <w:divsChild>
            <w:div w:id="1249532981">
              <w:marLeft w:val="0"/>
              <w:marRight w:val="0"/>
              <w:marTop w:val="0"/>
              <w:marBottom w:val="0"/>
              <w:divBdr>
                <w:top w:val="none" w:sz="0" w:space="0" w:color="auto"/>
                <w:left w:val="none" w:sz="0" w:space="0" w:color="auto"/>
                <w:bottom w:val="none" w:sz="0" w:space="0" w:color="auto"/>
                <w:right w:val="none" w:sz="0" w:space="0" w:color="auto"/>
              </w:divBdr>
              <w:divsChild>
                <w:div w:id="780300454">
                  <w:marLeft w:val="0"/>
                  <w:marRight w:val="0"/>
                  <w:marTop w:val="0"/>
                  <w:marBottom w:val="0"/>
                  <w:divBdr>
                    <w:top w:val="none" w:sz="0" w:space="0" w:color="auto"/>
                    <w:left w:val="none" w:sz="0" w:space="0" w:color="auto"/>
                    <w:bottom w:val="none" w:sz="0" w:space="0" w:color="auto"/>
                    <w:right w:val="none" w:sz="0" w:space="0" w:color="auto"/>
                  </w:divBdr>
                  <w:divsChild>
                    <w:div w:id="277951156">
                      <w:marLeft w:val="0"/>
                      <w:marRight w:val="0"/>
                      <w:marTop w:val="0"/>
                      <w:marBottom w:val="0"/>
                      <w:divBdr>
                        <w:top w:val="none" w:sz="0" w:space="0" w:color="auto"/>
                        <w:left w:val="none" w:sz="0" w:space="0" w:color="auto"/>
                        <w:bottom w:val="none" w:sz="0" w:space="0" w:color="auto"/>
                        <w:right w:val="none" w:sz="0" w:space="0" w:color="auto"/>
                      </w:divBdr>
                      <w:divsChild>
                        <w:div w:id="1366364055">
                          <w:marLeft w:val="0"/>
                          <w:marRight w:val="0"/>
                          <w:marTop w:val="0"/>
                          <w:marBottom w:val="0"/>
                          <w:divBdr>
                            <w:top w:val="none" w:sz="0" w:space="0" w:color="auto"/>
                            <w:left w:val="none" w:sz="0" w:space="0" w:color="auto"/>
                            <w:bottom w:val="none" w:sz="0" w:space="0" w:color="auto"/>
                            <w:right w:val="none" w:sz="0" w:space="0" w:color="auto"/>
                          </w:divBdr>
                          <w:divsChild>
                            <w:div w:id="31998783">
                              <w:marLeft w:val="0"/>
                              <w:marRight w:val="0"/>
                              <w:marTop w:val="0"/>
                              <w:marBottom w:val="0"/>
                              <w:divBdr>
                                <w:top w:val="none" w:sz="0" w:space="0" w:color="auto"/>
                                <w:left w:val="none" w:sz="0" w:space="0" w:color="auto"/>
                                <w:bottom w:val="none" w:sz="0" w:space="0" w:color="auto"/>
                                <w:right w:val="none" w:sz="0" w:space="0" w:color="auto"/>
                              </w:divBdr>
                              <w:divsChild>
                                <w:div w:id="449782326">
                                  <w:marLeft w:val="0"/>
                                  <w:marRight w:val="0"/>
                                  <w:marTop w:val="0"/>
                                  <w:marBottom w:val="0"/>
                                  <w:divBdr>
                                    <w:top w:val="single" w:sz="6" w:space="0" w:color="F5F5F5"/>
                                    <w:left w:val="single" w:sz="6" w:space="0" w:color="F5F5F5"/>
                                    <w:bottom w:val="single" w:sz="6" w:space="0" w:color="F5F5F5"/>
                                    <w:right w:val="single" w:sz="6" w:space="0" w:color="F5F5F5"/>
                                  </w:divBdr>
                                  <w:divsChild>
                                    <w:div w:id="1399207103">
                                      <w:marLeft w:val="0"/>
                                      <w:marRight w:val="0"/>
                                      <w:marTop w:val="0"/>
                                      <w:marBottom w:val="0"/>
                                      <w:divBdr>
                                        <w:top w:val="none" w:sz="0" w:space="0" w:color="auto"/>
                                        <w:left w:val="none" w:sz="0" w:space="0" w:color="auto"/>
                                        <w:bottom w:val="none" w:sz="0" w:space="0" w:color="auto"/>
                                        <w:right w:val="none" w:sz="0" w:space="0" w:color="auto"/>
                                      </w:divBdr>
                                      <w:divsChild>
                                        <w:div w:id="1372994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10826571">
      <w:bodyDiv w:val="1"/>
      <w:marLeft w:val="0"/>
      <w:marRight w:val="0"/>
      <w:marTop w:val="0"/>
      <w:marBottom w:val="0"/>
      <w:divBdr>
        <w:top w:val="none" w:sz="0" w:space="0" w:color="auto"/>
        <w:left w:val="none" w:sz="0" w:space="0" w:color="auto"/>
        <w:bottom w:val="none" w:sz="0" w:space="0" w:color="auto"/>
        <w:right w:val="none" w:sz="0" w:space="0" w:color="auto"/>
      </w:divBdr>
    </w:div>
    <w:div w:id="1996883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cbs.gov.ps/site/lang__ar/612/default.aspx?lang=ar%20" TargetMode="External"/><Relationship Id="rId18" Type="http://schemas.openxmlformats.org/officeDocument/2006/relationships/image" Target="media/image9.jpg"/><Relationship Id="rId26" Type="http://schemas.openxmlformats.org/officeDocument/2006/relationships/image" Target="media/image13.png"/><Relationship Id="rId39" Type="http://schemas.openxmlformats.org/officeDocument/2006/relationships/chart" Target="charts/chart13.xml"/><Relationship Id="rId3" Type="http://schemas.openxmlformats.org/officeDocument/2006/relationships/styles" Target="styles.xml"/><Relationship Id="rId21" Type="http://schemas.openxmlformats.org/officeDocument/2006/relationships/footer" Target="footer2.xml"/><Relationship Id="rId34" Type="http://schemas.openxmlformats.org/officeDocument/2006/relationships/chart" Target="charts/chart8.xml"/><Relationship Id="rId42" Type="http://schemas.openxmlformats.org/officeDocument/2006/relationships/chart" Target="charts/chart16.xml"/><Relationship Id="rId47" Type="http://schemas.openxmlformats.org/officeDocument/2006/relationships/footer" Target="footer8.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jpg"/><Relationship Id="rId25" Type="http://schemas.openxmlformats.org/officeDocument/2006/relationships/image" Target="media/image12.png"/><Relationship Id="rId33" Type="http://schemas.openxmlformats.org/officeDocument/2006/relationships/chart" Target="charts/chart7.xml"/><Relationship Id="rId38" Type="http://schemas.openxmlformats.org/officeDocument/2006/relationships/chart" Target="charts/chart12.xml"/><Relationship Id="rId46"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11.jpg"/><Relationship Id="rId29" Type="http://schemas.openxmlformats.org/officeDocument/2006/relationships/image" Target="media/image14.png"/><Relationship Id="rId41" Type="http://schemas.openxmlformats.org/officeDocument/2006/relationships/chart" Target="charts/chart1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2.xml"/><Relationship Id="rId32" Type="http://schemas.openxmlformats.org/officeDocument/2006/relationships/chart" Target="charts/chart6.xml"/><Relationship Id="rId37" Type="http://schemas.openxmlformats.org/officeDocument/2006/relationships/chart" Target="charts/chart11.xml"/><Relationship Id="rId40" Type="http://schemas.openxmlformats.org/officeDocument/2006/relationships/chart" Target="charts/chart14.xml"/><Relationship Id="rId45"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chart" Target="charts/chart1.xml"/><Relationship Id="rId28" Type="http://schemas.openxmlformats.org/officeDocument/2006/relationships/chart" Target="charts/chart4.xml"/><Relationship Id="rId36" Type="http://schemas.openxmlformats.org/officeDocument/2006/relationships/chart" Target="charts/chart10.xml"/><Relationship Id="rId49" Type="http://schemas.openxmlformats.org/officeDocument/2006/relationships/theme" Target="theme/theme1.xml"/><Relationship Id="rId10" Type="http://schemas.openxmlformats.org/officeDocument/2006/relationships/image" Target="media/image3.gif"/><Relationship Id="rId19" Type="http://schemas.openxmlformats.org/officeDocument/2006/relationships/image" Target="media/image10.jpg"/><Relationship Id="rId31" Type="http://schemas.openxmlformats.org/officeDocument/2006/relationships/chart" Target="charts/chart5.xml"/><Relationship Id="rId44"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footer" Target="footer3.xml"/><Relationship Id="rId27" Type="http://schemas.openxmlformats.org/officeDocument/2006/relationships/chart" Target="charts/chart3.xml"/><Relationship Id="rId30" Type="http://schemas.openxmlformats.org/officeDocument/2006/relationships/image" Target="media/image15.png"/><Relationship Id="rId35" Type="http://schemas.openxmlformats.org/officeDocument/2006/relationships/chart" Target="charts/chart9.xml"/><Relationship Id="rId43" Type="http://schemas.openxmlformats.org/officeDocument/2006/relationships/footer" Target="footer4.xml"/><Relationship Id="rId48" Type="http://schemas.openxmlformats.org/officeDocument/2006/relationships/fontTable" Target="fontTable.xml"/><Relationship Id="rId8" Type="http://schemas.openxmlformats.org/officeDocument/2006/relationships/image" Target="media/image1.gif"/></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_rels/footer2.xml.rels><?xml version="1.0" encoding="UTF-8" standalone="yes"?>
<Relationships xmlns="http://schemas.openxmlformats.org/package/2006/relationships"><Relationship Id="rId1" Type="http://schemas.openxmlformats.org/officeDocument/2006/relationships/image" Target="media/image7.jpeg"/></Relationships>
</file>

<file path=word/_rels/footer3.xml.rels><?xml version="1.0" encoding="UTF-8" standalone="yes"?>
<Relationships xmlns="http://schemas.openxmlformats.org/package/2006/relationships"><Relationship Id="rId1" Type="http://schemas.openxmlformats.org/officeDocument/2006/relationships/image" Target="media/image7.jpeg"/></Relationships>
</file>

<file path=word/_rels/footer4.xml.rels><?xml version="1.0" encoding="UTF-8" standalone="yes"?>
<Relationships xmlns="http://schemas.openxmlformats.org/package/2006/relationships"><Relationship Id="rId1" Type="http://schemas.openxmlformats.org/officeDocument/2006/relationships/image" Target="media/image7.jpeg"/></Relationships>
</file>

<file path=word/_rels/footer5.xml.rels><?xml version="1.0" encoding="UTF-8" standalone="yes"?>
<Relationships xmlns="http://schemas.openxmlformats.org/package/2006/relationships"><Relationship Id="rId1" Type="http://schemas.openxmlformats.org/officeDocument/2006/relationships/image" Target="media/image7.jpeg"/></Relationships>
</file>

<file path=word/_rels/footer6.xml.rels><?xml version="1.0" encoding="UTF-8" standalone="yes"?>
<Relationships xmlns="http://schemas.openxmlformats.org/package/2006/relationships"><Relationship Id="rId1" Type="http://schemas.openxmlformats.org/officeDocument/2006/relationships/image" Target="media/image16.jpg"/></Relationships>
</file>

<file path=word/_rels/footer7.xml.rels><?xml version="1.0" encoding="UTF-8" standalone="yes"?>
<Relationships xmlns="http://schemas.openxmlformats.org/package/2006/relationships"><Relationship Id="rId1" Type="http://schemas.openxmlformats.org/officeDocument/2006/relationships/image" Target="media/image7.jpeg"/></Relationships>
</file>

<file path=word/_rels/footer8.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4.xml"/><Relationship Id="rId1" Type="http://schemas.microsoft.com/office/2011/relationships/chartStyle" Target="style4.xm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5.xml"/><Relationship Id="rId1" Type="http://schemas.microsoft.com/office/2011/relationships/chartStyle" Target="style5.xml"/></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6.xml"/><Relationship Id="rId1" Type="http://schemas.microsoft.com/office/2011/relationships/chartStyle" Target="style6.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2.xml"/><Relationship Id="rId1" Type="http://schemas.microsoft.com/office/2011/relationships/chartStyle" Target="style2.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3.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2012253251071129E-2"/>
          <c:y val="7.8188037085995601E-2"/>
          <c:w val="0.90606099080468183"/>
          <c:h val="0.82762590288296634"/>
        </c:manualLayout>
      </c:layout>
      <c:barChart>
        <c:barDir val="bar"/>
        <c:grouping val="stacked"/>
        <c:varyColors val="0"/>
        <c:ser>
          <c:idx val="0"/>
          <c:order val="0"/>
          <c:tx>
            <c:strRef>
              <c:f>Sheet1!$B$1</c:f>
              <c:strCache>
                <c:ptCount val="1"/>
                <c:pt idx="0">
                  <c:v> </c:v>
                </c:pt>
              </c:strCache>
            </c:strRef>
          </c:tx>
          <c:spPr>
            <a:noFill/>
            <a:ln w="25453">
              <a:noFill/>
            </a:ln>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12.980000000000018</c:v>
                </c:pt>
                <c:pt idx="1">
                  <c:v>52.269000000000005</c:v>
                </c:pt>
                <c:pt idx="2">
                  <c:v>72.27800000000002</c:v>
                </c:pt>
                <c:pt idx="3">
                  <c:v>100.50900000000001</c:v>
                </c:pt>
                <c:pt idx="4">
                  <c:v>135.12900000000002</c:v>
                </c:pt>
                <c:pt idx="5">
                  <c:v>148.274</c:v>
                </c:pt>
                <c:pt idx="6">
                  <c:v>164.79500000000002</c:v>
                </c:pt>
                <c:pt idx="7">
                  <c:v>207.45100000000002</c:v>
                </c:pt>
                <c:pt idx="8">
                  <c:v>244.16300000000001</c:v>
                </c:pt>
                <c:pt idx="9">
                  <c:v>262.70800000000003</c:v>
                </c:pt>
                <c:pt idx="10">
                  <c:v>281.62700000000001</c:v>
                </c:pt>
                <c:pt idx="11">
                  <c:v>297.99799999999999</c:v>
                </c:pt>
                <c:pt idx="12">
                  <c:v>314.77699999999999</c:v>
                </c:pt>
                <c:pt idx="13">
                  <c:v>334.05500000000001</c:v>
                </c:pt>
                <c:pt idx="14">
                  <c:v>348.73</c:v>
                </c:pt>
                <c:pt idx="15">
                  <c:v>359.45800000000003</c:v>
                </c:pt>
                <c:pt idx="16">
                  <c:v>360.31900000000002</c:v>
                </c:pt>
              </c:numCache>
            </c:numRef>
          </c:val>
          <c:extLst>
            <c:ext xmlns:c16="http://schemas.microsoft.com/office/drawing/2014/chart" uri="{C3380CC4-5D6E-409C-BE32-E72D297353CC}">
              <c16:uniqueId val="{00000000-71F9-4ED9-BEB6-E67C8B1980AB}"/>
            </c:ext>
          </c:extLst>
        </c:ser>
        <c:ser>
          <c:idx val="1"/>
          <c:order val="1"/>
          <c:tx>
            <c:strRef>
              <c:f>Sheet1!$C$1</c:f>
              <c:strCache>
                <c:ptCount val="1"/>
                <c:pt idx="0">
                  <c:v>Females </c:v>
                </c:pt>
              </c:strCache>
            </c:strRef>
          </c:tx>
          <c:spPr>
            <a:solidFill>
              <a:srgbClr val="F56B6B"/>
            </a:solidFill>
            <a:ln w="25453">
              <a:noFill/>
            </a:ln>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1F9-4ED9-BEB6-E67C8B1980AB}"/>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1F9-4ED9-BEB6-E67C8B1980AB}"/>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1F9-4ED9-BEB6-E67C8B1980AB}"/>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1F9-4ED9-BEB6-E67C8B1980AB}"/>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1F9-4ED9-BEB6-E67C8B1980AB}"/>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1F9-4ED9-BEB6-E67C8B1980AB}"/>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71F9-4ED9-BEB6-E67C8B1980AB}"/>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71F9-4ED9-BEB6-E67C8B1980AB}"/>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71F9-4ED9-BEB6-E67C8B1980AB}"/>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71F9-4ED9-BEB6-E67C8B1980AB}"/>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71F9-4ED9-BEB6-E67C8B1980AB}"/>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71F9-4ED9-BEB6-E67C8B1980AB}"/>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71F9-4ED9-BEB6-E67C8B1980AB}"/>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71F9-4ED9-BEB6-E67C8B1980AB}"/>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71F9-4ED9-BEB6-E67C8B1980AB}"/>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71F9-4ED9-BEB6-E67C8B1980AB}"/>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71F9-4ED9-BEB6-E67C8B1980AB}"/>
                </c:ext>
              </c:extLst>
            </c:dLbl>
            <c:spPr>
              <a:noFill/>
              <a:ln w="25453">
                <a:noFill/>
              </a:ln>
            </c:spPr>
            <c:txPr>
              <a:bodyPr rot="0" spcFirstLastPara="1" vertOverflow="ellipsis" vert="horz" wrap="square" anchor="ctr" anchorCtr="1"/>
              <a:lstStyle/>
              <a:p>
                <a:pPr>
                  <a:defRPr sz="701"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363.82</c:v>
                </c:pt>
                <c:pt idx="1">
                  <c:v>324.53100000000001</c:v>
                </c:pt>
                <c:pt idx="2">
                  <c:v>304.52199999999999</c:v>
                </c:pt>
                <c:pt idx="3">
                  <c:v>276.291</c:v>
                </c:pt>
                <c:pt idx="4">
                  <c:v>241.67099999999999</c:v>
                </c:pt>
                <c:pt idx="5">
                  <c:v>228.52600000000001</c:v>
                </c:pt>
                <c:pt idx="6">
                  <c:v>212.005</c:v>
                </c:pt>
                <c:pt idx="7">
                  <c:v>169.34899999999999</c:v>
                </c:pt>
                <c:pt idx="8">
                  <c:v>132.637</c:v>
                </c:pt>
                <c:pt idx="9">
                  <c:v>114.092</c:v>
                </c:pt>
                <c:pt idx="10">
                  <c:v>95.173000000000002</c:v>
                </c:pt>
                <c:pt idx="11">
                  <c:v>78.802000000000007</c:v>
                </c:pt>
                <c:pt idx="12">
                  <c:v>62.023000000000003</c:v>
                </c:pt>
                <c:pt idx="13">
                  <c:v>42.744999999999997</c:v>
                </c:pt>
                <c:pt idx="14">
                  <c:v>28.07</c:v>
                </c:pt>
                <c:pt idx="15">
                  <c:v>17.341999999999999</c:v>
                </c:pt>
                <c:pt idx="16">
                  <c:v>16.481000000000002</c:v>
                </c:pt>
              </c:numCache>
            </c:numRef>
          </c:val>
          <c:extLst>
            <c:ext xmlns:c16="http://schemas.microsoft.com/office/drawing/2014/chart" uri="{C3380CC4-5D6E-409C-BE32-E72D297353CC}">
              <c16:uniqueId val="{00000012-71F9-4ED9-BEB6-E67C8B1980AB}"/>
            </c:ext>
          </c:extLst>
        </c:ser>
        <c:ser>
          <c:idx val="2"/>
          <c:order val="2"/>
          <c:tx>
            <c:strRef>
              <c:f>Sheet1!$D$1</c:f>
              <c:strCache>
                <c:ptCount val="1"/>
                <c:pt idx="0">
                  <c:v>   </c:v>
                </c:pt>
              </c:strCache>
            </c:strRef>
          </c:tx>
          <c:spPr>
            <a:noFill/>
            <a:ln w="25453">
              <a:noFill/>
            </a:ln>
          </c:spPr>
          <c:invertIfNegative val="0"/>
          <c:dLbls>
            <c:spPr>
              <a:noFill/>
              <a:ln w="25453">
                <a:noFill/>
              </a:ln>
            </c:spPr>
            <c:txPr>
              <a:bodyPr rot="0" spcFirstLastPara="1" vertOverflow="ellipsis" vert="horz" wrap="square" anchor="ctr" anchorCtr="1"/>
              <a:lstStyle/>
              <a:p>
                <a:pPr>
                  <a:defRPr sz="802"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13-71F9-4ED9-BEB6-E67C8B1980AB}"/>
            </c:ext>
          </c:extLst>
        </c:ser>
        <c:ser>
          <c:idx val="3"/>
          <c:order val="3"/>
          <c:tx>
            <c:strRef>
              <c:f>Sheet1!$E$1</c:f>
              <c:strCache>
                <c:ptCount val="1"/>
                <c:pt idx="0">
                  <c:v>Males </c:v>
                </c:pt>
              </c:strCache>
            </c:strRef>
          </c:tx>
          <c:spPr>
            <a:solidFill>
              <a:srgbClr val="0070C0"/>
            </a:solidFill>
            <a:ln w="25453">
              <a:noFill/>
            </a:ln>
          </c:spPr>
          <c:invertIfNegative val="0"/>
          <c:dLbls>
            <c:dLbl>
              <c:idx val="0"/>
              <c:layout>
                <c:manualLayout>
                  <c:x val="0.18843317765150877"/>
                  <c:y val="-5.598928682601232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71F9-4ED9-BEB6-E67C8B1980AB}"/>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71F9-4ED9-BEB6-E67C8B1980AB}"/>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71F9-4ED9-BEB6-E67C8B1980AB}"/>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71F9-4ED9-BEB6-E67C8B1980AB}"/>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71F9-4ED9-BEB6-E67C8B1980AB}"/>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71F9-4ED9-BEB6-E67C8B1980AB}"/>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71F9-4ED9-BEB6-E67C8B1980AB}"/>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71F9-4ED9-BEB6-E67C8B1980AB}"/>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71F9-4ED9-BEB6-E67C8B1980AB}"/>
                </c:ext>
              </c:extLst>
            </c:dLbl>
            <c:dLbl>
              <c:idx val="9"/>
              <c:layout>
                <c:manualLayout>
                  <c:x val="8.3010514665190827E-2"/>
                  <c:y val="-5.48696844993146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71F9-4ED9-BEB6-E67C8B1980AB}"/>
                </c:ext>
              </c:extLst>
            </c:dLbl>
            <c:dLbl>
              <c:idx val="10"/>
              <c:layout>
                <c:manualLayout>
                  <c:x val="8.3010623602874103E-2"/>
                  <c:y val="2.1602237986826293E-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71F9-4ED9-BEB6-E67C8B1980AB}"/>
                </c:ext>
              </c:extLst>
            </c:dLbl>
            <c:dLbl>
              <c:idx val="11"/>
              <c:layout>
                <c:manualLayout>
                  <c:x val="6.364150351432956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71F9-4ED9-BEB6-E67C8B1980AB}"/>
                </c:ext>
              </c:extLst>
            </c:dLbl>
            <c:dLbl>
              <c:idx val="12"/>
              <c:layout>
                <c:manualLayout>
                  <c:x val="6.0874377421139908E-2"/>
                  <c:y val="-5.4869684499314125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71F9-4ED9-BEB6-E67C8B1980AB}"/>
                </c:ext>
              </c:extLst>
            </c:dLbl>
            <c:dLbl>
              <c:idx val="13"/>
              <c:layout>
                <c:manualLayout>
                  <c:x val="5.5340343110127282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71F9-4ED9-BEB6-E67C8B1980AB}"/>
                </c:ext>
              </c:extLst>
            </c:dLbl>
            <c:dLbl>
              <c:idx val="14"/>
              <c:layout>
                <c:manualLayout>
                  <c:x val="5.2573325954620921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71F9-4ED9-BEB6-E67C8B1980AB}"/>
                </c:ext>
              </c:extLst>
            </c:dLbl>
            <c:dLbl>
              <c:idx val="15"/>
              <c:layout>
                <c:manualLayout>
                  <c:x val="4.9806308799114553E-2"/>
                  <c:y val="-5.4869684499314255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71F9-4ED9-BEB6-E67C8B1980AB}"/>
                </c:ext>
              </c:extLst>
            </c:dLbl>
            <c:dLbl>
              <c:idx val="16"/>
              <c:layout>
                <c:manualLayout>
                  <c:x val="3.5971223021582732E-2"/>
                  <c:y val="-1.646090534979424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71F9-4ED9-BEB6-E67C8B1980AB}"/>
                </c:ext>
              </c:extLst>
            </c:dLbl>
            <c:spPr>
              <a:noFill/>
              <a:ln w="25453">
                <a:noFill/>
              </a:ln>
            </c:spPr>
            <c:txPr>
              <a:bodyPr rot="0" spcFirstLastPara="1" vertOverflow="ellipsis" vert="horz" wrap="square" anchor="ctr" anchorCtr="1"/>
              <a:lstStyle/>
              <a:p>
                <a:pPr>
                  <a:defRPr sz="701"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377.12799999999999</c:v>
                </c:pt>
                <c:pt idx="1">
                  <c:v>338.63900000000001</c:v>
                </c:pt>
                <c:pt idx="2">
                  <c:v>318.78899999999999</c:v>
                </c:pt>
                <c:pt idx="3">
                  <c:v>286.72000000000003</c:v>
                </c:pt>
                <c:pt idx="4">
                  <c:v>249.79499999999999</c:v>
                </c:pt>
                <c:pt idx="5">
                  <c:v>236.434</c:v>
                </c:pt>
                <c:pt idx="6">
                  <c:v>219.57400000000001</c:v>
                </c:pt>
                <c:pt idx="7">
                  <c:v>171.57</c:v>
                </c:pt>
                <c:pt idx="8">
                  <c:v>130.88399999999999</c:v>
                </c:pt>
                <c:pt idx="9">
                  <c:v>114.79300000000001</c:v>
                </c:pt>
                <c:pt idx="10">
                  <c:v>97.474000000000004</c:v>
                </c:pt>
                <c:pt idx="11">
                  <c:v>82.087999999999994</c:v>
                </c:pt>
                <c:pt idx="12">
                  <c:v>64.338999999999999</c:v>
                </c:pt>
                <c:pt idx="13">
                  <c:v>42.173000000000002</c:v>
                </c:pt>
                <c:pt idx="14">
                  <c:v>25.928000000000001</c:v>
                </c:pt>
                <c:pt idx="15">
                  <c:v>14.816000000000001</c:v>
                </c:pt>
                <c:pt idx="16">
                  <c:v>11.093</c:v>
                </c:pt>
              </c:numCache>
            </c:numRef>
          </c:val>
          <c:extLst>
            <c:ext xmlns:c16="http://schemas.microsoft.com/office/drawing/2014/chart" uri="{C3380CC4-5D6E-409C-BE32-E72D297353CC}">
              <c16:uniqueId val="{00000025-71F9-4ED9-BEB6-E67C8B1980AB}"/>
            </c:ext>
          </c:extLst>
        </c:ser>
        <c:ser>
          <c:idx val="4"/>
          <c:order val="4"/>
          <c:tx>
            <c:strRef>
              <c:f>Sheet1!$F$1</c:f>
              <c:strCache>
                <c:ptCount val="1"/>
                <c:pt idx="0">
                  <c:v>     </c:v>
                </c:pt>
              </c:strCache>
            </c:strRef>
          </c:tx>
          <c:spPr>
            <a:noFill/>
            <a:ln w="25453">
              <a:noFill/>
            </a:ln>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26-71F9-4ED9-BEB6-E67C8B1980AB}"/>
            </c:ext>
          </c:extLst>
        </c:ser>
        <c:dLbls>
          <c:showLegendKey val="0"/>
          <c:showVal val="0"/>
          <c:showCatName val="0"/>
          <c:showSerName val="0"/>
          <c:showPercent val="0"/>
          <c:showBubbleSize val="0"/>
        </c:dLbls>
        <c:gapWidth val="150"/>
        <c:overlap val="100"/>
        <c:axId val="214353840"/>
        <c:axId val="1"/>
      </c:barChart>
      <c:catAx>
        <c:axId val="214353840"/>
        <c:scaling>
          <c:orientation val="minMax"/>
        </c:scaling>
        <c:delete val="1"/>
        <c:axPos val="l"/>
        <c:title>
          <c:tx>
            <c:rich>
              <a:bodyPr rot="0" vert="horz"/>
              <a:lstStyle/>
              <a:p>
                <a:pPr algn="ctr">
                  <a:defRPr sz="702" b="1" i="0" u="none" strike="noStrike" baseline="0">
                    <a:solidFill>
                      <a:srgbClr val="000000"/>
                    </a:solidFill>
                    <a:latin typeface="Arial"/>
                    <a:ea typeface="Arial"/>
                    <a:cs typeface="Arial"/>
                  </a:defRPr>
                </a:pPr>
                <a:r>
                  <a:rPr lang="en-US"/>
                  <a:t>Age</a:t>
                </a:r>
                <a:r>
                  <a:rPr lang="en-US" baseline="0"/>
                  <a:t> Group</a:t>
                </a:r>
                <a:endParaRPr lang="ar-SA"/>
              </a:p>
            </c:rich>
          </c:tx>
          <c:layout>
            <c:manualLayout>
              <c:xMode val="edge"/>
              <c:yMode val="edge"/>
              <c:x val="0.48294250182378473"/>
              <c:y val="0.91589488177521594"/>
            </c:manualLayout>
          </c:layout>
          <c:overlay val="0"/>
          <c:spPr>
            <a:noFill/>
            <a:ln w="25453">
              <a:noFill/>
            </a:ln>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1"/>
        <c:axPos val="b"/>
        <c:numFmt formatCode="General" sourceLinked="1"/>
        <c:majorTickMark val="out"/>
        <c:minorTickMark val="none"/>
        <c:tickLblPos val="nextTo"/>
        <c:crossAx val="214353840"/>
        <c:crosses val="autoZero"/>
        <c:crossBetween val="between"/>
      </c:valAx>
      <c:spPr>
        <a:noFill/>
        <a:ln w="25453">
          <a:noFill/>
        </a:ln>
      </c:spPr>
    </c:plotArea>
    <c:legend>
      <c:legendPos val="r"/>
      <c:layout>
        <c:manualLayout>
          <c:xMode val="edge"/>
          <c:yMode val="edge"/>
          <c:x val="6.6368548697742377E-2"/>
          <c:y val="0.91475810941147628"/>
          <c:w val="0.92942682367543827"/>
          <c:h val="7.3427234639148353E-2"/>
        </c:manualLayout>
      </c:layout>
      <c:overlay val="0"/>
      <c:spPr>
        <a:noFill/>
        <a:ln w="25453">
          <a:noFill/>
        </a:ln>
      </c:spPr>
      <c:txPr>
        <a:bodyPr rot="0" spcFirstLastPara="1" vertOverflow="ellipsis" vert="horz" wrap="square" anchor="ctr" anchorCtr="1"/>
        <a:lstStyle/>
        <a:p>
          <a:pPr>
            <a:defRPr sz="802"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6363" cap="flat" cmpd="sng" algn="ctr">
      <a:solidFill>
        <a:schemeClr val="tx1"/>
      </a:solidFill>
      <a:round/>
    </a:ln>
    <a:effectLst/>
  </c:spPr>
  <c:txPr>
    <a:bodyPr/>
    <a:lstStyle/>
    <a:p>
      <a:pPr>
        <a:defRPr sz="802">
          <a:solidFill>
            <a:schemeClr val="tx1"/>
          </a:solidFill>
          <a:latin typeface="Arial" panose="020B0604020202020204" pitchFamily="34" charset="0"/>
          <a:cs typeface="Arial" panose="020B0604020202020204" pitchFamily="34"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906416622682769"/>
          <c:y val="0.12481070756207828"/>
          <c:w val="0.78957247649105411"/>
          <c:h val="0.46142226986024659"/>
        </c:manualLayout>
      </c:layout>
      <c:barChart>
        <c:barDir val="col"/>
        <c:grouping val="clustered"/>
        <c:varyColors val="0"/>
        <c:ser>
          <c:idx val="0"/>
          <c:order val="0"/>
          <c:tx>
            <c:strRef>
              <c:f>Sheet1!$A$2</c:f>
              <c:strCache>
                <c:ptCount val="1"/>
                <c:pt idx="0">
                  <c:v>Percent Change %</c:v>
                </c:pt>
              </c:strCache>
            </c:strRef>
          </c:tx>
          <c:spPr>
            <a:solidFill>
              <a:schemeClr val="accent1"/>
            </a:solidFill>
            <a:ln>
              <a:noFill/>
            </a:ln>
            <a:effectLst/>
          </c:spPr>
          <c:invertIfNegative val="0"/>
          <c:dLbls>
            <c:dLbl>
              <c:idx val="5"/>
              <c:layout>
                <c:manualLayout>
                  <c:x val="-5.453851419767601E-17"/>
                  <c:y val="-2.584814216478190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B72-4FD4-B4E4-F8716E7E062C}"/>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Sheet1!$B$1:$M$1</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Sheet1!$B$2:$M$2</c:f>
              <c:numCache>
                <c:formatCode>0.00</c:formatCode>
                <c:ptCount val="12"/>
                <c:pt idx="0">
                  <c:v>3.2699221602958488</c:v>
                </c:pt>
                <c:pt idx="1">
                  <c:v>8.1973360037981564</c:v>
                </c:pt>
                <c:pt idx="2">
                  <c:v>9.1286264400035009</c:v>
                </c:pt>
                <c:pt idx="3">
                  <c:v>-1.9107894337009697</c:v>
                </c:pt>
                <c:pt idx="4">
                  <c:v>13.712131958692936</c:v>
                </c:pt>
                <c:pt idx="5">
                  <c:v>0.83059117982860187</c:v>
                </c:pt>
                <c:pt idx="6">
                  <c:v>-1.3932713216479442</c:v>
                </c:pt>
                <c:pt idx="7">
                  <c:v>1.7194366281754156</c:v>
                </c:pt>
                <c:pt idx="8">
                  <c:v>5.9252530227783495</c:v>
                </c:pt>
                <c:pt idx="9">
                  <c:v>9.1924724998501404</c:v>
                </c:pt>
                <c:pt idx="10">
                  <c:v>14.752701612916709</c:v>
                </c:pt>
                <c:pt idx="11">
                  <c:v>2.9723567335113046</c:v>
                </c:pt>
              </c:numCache>
            </c:numRef>
          </c:val>
          <c:extLst>
            <c:ext xmlns:c16="http://schemas.microsoft.com/office/drawing/2014/chart" uri="{C3380CC4-5D6E-409C-BE32-E72D297353CC}">
              <c16:uniqueId val="{00000001-8B72-4FD4-B4E4-F8716E7E062C}"/>
            </c:ext>
          </c:extLst>
        </c:ser>
        <c:dLbls>
          <c:showLegendKey val="0"/>
          <c:showVal val="0"/>
          <c:showCatName val="0"/>
          <c:showSerName val="0"/>
          <c:showPercent val="0"/>
          <c:showBubbleSize val="0"/>
        </c:dLbls>
        <c:gapWidth val="219"/>
        <c:overlap val="-27"/>
        <c:axId val="184327960"/>
        <c:axId val="1"/>
      </c:barChart>
      <c:catAx>
        <c:axId val="184327960"/>
        <c:scaling>
          <c:orientation val="minMax"/>
        </c:scaling>
        <c:delete val="0"/>
        <c:axPos val="b"/>
        <c:numFmt formatCode="General" sourceLinked="1"/>
        <c:majorTickMark val="none"/>
        <c:minorTickMark val="none"/>
        <c:tickLblPos val="nextTo"/>
        <c:spPr>
          <a:noFill/>
          <a:ln w="9525" cap="flat" cmpd="sng" algn="ct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
        <c:crossesAt val="0"/>
        <c:auto val="1"/>
        <c:lblAlgn val="ctr"/>
        <c:lblOffset val="300"/>
        <c:tickLblSkip val="1"/>
        <c:tickMarkSkip val="1"/>
        <c:noMultiLvlLbl val="0"/>
      </c:catAx>
      <c:valAx>
        <c:axId val="1"/>
        <c:scaling>
          <c:orientation val="minMax"/>
          <c:max val="19"/>
          <c:min val="-1"/>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Monthly Percent Change %</a:t>
                </a:r>
                <a:endParaRPr lang="ar-SA" b="1"/>
              </a:p>
            </c:rich>
          </c:tx>
          <c:layout>
            <c:manualLayout>
              <c:xMode val="edge"/>
              <c:yMode val="edge"/>
              <c:x val="2.79442463672889E-2"/>
              <c:y val="0.11880501848263733"/>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0" sourceLinked="0"/>
        <c:majorTickMark val="none"/>
        <c:minorTickMark val="none"/>
        <c:tickLblPos val="nextTo"/>
        <c:spPr>
          <a:no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84327960"/>
        <c:crosses val="autoZero"/>
        <c:crossBetween val="between"/>
        <c:majorUnit val="4"/>
      </c:valAx>
      <c:spPr>
        <a:noFill/>
        <a:ln>
          <a:noFill/>
        </a:ln>
        <a:effectLst/>
      </c:spPr>
    </c:plotArea>
    <c:plotVisOnly val="1"/>
    <c:dispBlanksAs val="gap"/>
    <c:showDLblsOverMax val="0"/>
  </c:chart>
  <c:spPr>
    <a:solidFill>
      <a:schemeClr val="bg1"/>
    </a:solidFill>
    <a:ln w="0" cap="flat" cmpd="sng" algn="ctr">
      <a:solidFill>
        <a:schemeClr val="tx1"/>
      </a:solid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635961045409865"/>
          <c:y val="0.10576923076923077"/>
          <c:w val="0.81182906190780213"/>
          <c:h val="0.74991351490899705"/>
        </c:manualLayout>
      </c:layout>
      <c:lineChart>
        <c:grouping val="standard"/>
        <c:varyColors val="0"/>
        <c:ser>
          <c:idx val="0"/>
          <c:order val="0"/>
          <c:tx>
            <c:strRef>
              <c:f>Sheet1!$A$2</c:f>
              <c:strCache>
                <c:ptCount val="1"/>
                <c:pt idx="0">
                  <c:v>نسب التضخم في فلسطين</c:v>
                </c:pt>
              </c:strCache>
            </c:strRef>
          </c:tx>
          <c:spPr>
            <a:ln w="12681">
              <a:solidFill>
                <a:srgbClr val="000080"/>
              </a:solidFill>
              <a:prstDash val="solid"/>
            </a:ln>
          </c:spPr>
          <c:marker>
            <c:symbol val="diamond"/>
            <c:size val="4"/>
            <c:spPr>
              <a:solidFill>
                <a:srgbClr val="000080"/>
              </a:solidFill>
              <a:ln>
                <a:solidFill>
                  <a:srgbClr val="000080"/>
                </a:solidFill>
                <a:prstDash val="solid"/>
              </a:ln>
            </c:spPr>
          </c:marker>
          <c:dLbls>
            <c:dLbl>
              <c:idx val="1"/>
              <c:layout>
                <c:manualLayout>
                  <c:x val="-8.4303484845336132E-2"/>
                  <c:y val="6.487664198178733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0E8-4D54-A2FD-1C418CE4E0B9}"/>
                </c:ext>
              </c:extLst>
            </c:dLbl>
            <c:dLbl>
              <c:idx val="3"/>
              <c:layout>
                <c:manualLayout>
                  <c:x val="-5.9300012140793834E-2"/>
                  <c:y val="5.297542210675019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0E8-4D54-A2FD-1C418CE4E0B9}"/>
                </c:ext>
              </c:extLst>
            </c:dLbl>
            <c:dLbl>
              <c:idx val="5"/>
              <c:layout>
                <c:manualLayout>
                  <c:x val="-3.1518375802413505E-2"/>
                  <c:y val="-6.603677664362174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50E8-4D54-A2FD-1C418CE4E0B9}"/>
                </c:ext>
              </c:extLst>
            </c:dLbl>
            <c:dLbl>
              <c:idx val="6"/>
              <c:layout>
                <c:manualLayout>
                  <c:x val="-5.0965521239279839E-2"/>
                  <c:y val="5.892603204426873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50E8-4D54-A2FD-1C418CE4E0B9}"/>
                </c:ext>
              </c:extLst>
            </c:dLbl>
            <c:dLbl>
              <c:idx val="7"/>
              <c:layout>
                <c:manualLayout>
                  <c:x val="-4.8187357605441704E-2"/>
                  <c:y val="-6.008616670610312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50E8-4D54-A2FD-1C418CE4E0B9}"/>
                </c:ext>
              </c:extLst>
            </c:dLbl>
            <c:dLbl>
              <c:idx val="8"/>
              <c:layout>
                <c:manualLayout>
                  <c:x val="-0.10189604199183395"/>
                  <c:y val="5.297542210675019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50E8-4D54-A2FD-1C418CE4E0B9}"/>
                </c:ext>
              </c:extLst>
            </c:dLbl>
            <c:dLbl>
              <c:idx val="9"/>
              <c:layout>
                <c:manualLayout>
                  <c:x val="-5.4667260216587389E-2"/>
                  <c:y val="4.7024812169231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50E8-4D54-A2FD-1C418CE4E0B9}"/>
                </c:ext>
              </c:extLst>
            </c:dLbl>
            <c:dLbl>
              <c:idx val="10"/>
              <c:layout>
                <c:manualLayout>
                  <c:x val="-3.7367394640331719E-3"/>
                  <c:y val="4.7024812169231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50E8-4D54-A2FD-1C418CE4E0B9}"/>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Sheet1!$B$1:$O$1</c:f>
              <c:numCache>
                <c:formatCode>General</c:formatCode>
                <c:ptCount val="14"/>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numCache>
            </c:numRef>
          </c:cat>
          <c:val>
            <c:numRef>
              <c:f>Sheet1!$B$2:$O$2</c:f>
              <c:numCache>
                <c:formatCode>0.00%</c:formatCode>
                <c:ptCount val="14"/>
                <c:pt idx="0">
                  <c:v>3.6299999999999999E-2</c:v>
                </c:pt>
                <c:pt idx="1">
                  <c:v>2.5499999999999998E-2</c:v>
                </c:pt>
                <c:pt idx="2">
                  <c:v>8.8999999999999999E-3</c:v>
                </c:pt>
                <c:pt idx="3">
                  <c:v>7.7999999999999996E-3</c:v>
                </c:pt>
                <c:pt idx="4">
                  <c:v>1.7299999999999999E-2</c:v>
                </c:pt>
                <c:pt idx="5">
                  <c:v>1.7600000000000001E-2</c:v>
                </c:pt>
                <c:pt idx="6">
                  <c:v>8.8000000000000005E-3</c:v>
                </c:pt>
                <c:pt idx="7">
                  <c:v>2.2200000000000001E-2</c:v>
                </c:pt>
                <c:pt idx="8">
                  <c:v>-5.7999999999999996E-3</c:v>
                </c:pt>
                <c:pt idx="9">
                  <c:v>-4.5100000000000001E-2</c:v>
                </c:pt>
                <c:pt idx="10">
                  <c:v>2.6700000000000002E-2</c:v>
                </c:pt>
                <c:pt idx="11">
                  <c:v>7.4305862485444435E-2</c:v>
                </c:pt>
                <c:pt idx="12">
                  <c:v>5.4768358813933098E-2</c:v>
                </c:pt>
                <c:pt idx="13">
                  <c:v>0.35420000000000001</c:v>
                </c:pt>
              </c:numCache>
            </c:numRef>
          </c:val>
          <c:smooth val="1"/>
          <c:extLst>
            <c:ext xmlns:c16="http://schemas.microsoft.com/office/drawing/2014/chart" uri="{C3380CC4-5D6E-409C-BE32-E72D297353CC}">
              <c16:uniqueId val="{00000008-50E8-4D54-A2FD-1C418CE4E0B9}"/>
            </c:ext>
          </c:extLst>
        </c:ser>
        <c:dLbls>
          <c:dLblPos val="t"/>
          <c:showLegendKey val="0"/>
          <c:showVal val="1"/>
          <c:showCatName val="0"/>
          <c:showSerName val="0"/>
          <c:showPercent val="0"/>
          <c:showBubbleSize val="0"/>
        </c:dLbls>
        <c:marker val="1"/>
        <c:smooth val="0"/>
        <c:axId val="185740520"/>
        <c:axId val="1"/>
      </c:lineChart>
      <c:catAx>
        <c:axId val="185740520"/>
        <c:scaling>
          <c:orientation val="minMax"/>
        </c:scaling>
        <c:delete val="0"/>
        <c:axPos val="b"/>
        <c:numFmt formatCode="General" sourceLinked="1"/>
        <c:majorTickMark val="out"/>
        <c:minorTickMark val="none"/>
        <c:tickLblPos val="nextTo"/>
        <c:spPr>
          <a:ln w="3170">
            <a:solidFill>
              <a:srgbClr val="000000"/>
            </a:solidFill>
            <a:prstDash val="solid"/>
          </a:ln>
        </c:spPr>
        <c:txPr>
          <a:bodyPr rot="2700000" vert="horz"/>
          <a:lstStyle/>
          <a:p>
            <a:pPr>
              <a:defRPr/>
            </a:pPr>
            <a:endParaRPr lang="en-US"/>
          </a:p>
        </c:txPr>
        <c:crossAx val="1"/>
        <c:crossesAt val="0"/>
        <c:auto val="1"/>
        <c:lblAlgn val="ctr"/>
        <c:lblOffset val="800"/>
        <c:tickLblSkip val="1"/>
        <c:tickMarkSkip val="1"/>
        <c:noMultiLvlLbl val="0"/>
      </c:catAx>
      <c:valAx>
        <c:axId val="1"/>
        <c:scaling>
          <c:orientation val="minMax"/>
          <c:max val="0.4"/>
          <c:min val="-0.1"/>
        </c:scaling>
        <c:delete val="0"/>
        <c:axPos val="l"/>
        <c:title>
          <c:tx>
            <c:rich>
              <a:bodyPr/>
              <a:lstStyle/>
              <a:p>
                <a:pPr>
                  <a:defRPr b="1"/>
                </a:pPr>
                <a:r>
                  <a:rPr lang="en-US" b="1"/>
                  <a:t>Yearly Percent Change %</a:t>
                </a:r>
                <a:endParaRPr lang="ar-SA" b="1"/>
              </a:p>
            </c:rich>
          </c:tx>
          <c:layout>
            <c:manualLayout>
              <c:xMode val="edge"/>
              <c:yMode val="edge"/>
              <c:x val="3.059296297087525E-2"/>
              <c:y val="0.1078844518192681"/>
            </c:manualLayout>
          </c:layout>
          <c:overlay val="0"/>
          <c:spPr>
            <a:noFill/>
            <a:ln w="25363">
              <a:noFill/>
            </a:ln>
          </c:spPr>
        </c:title>
        <c:numFmt formatCode="0%" sourceLinked="0"/>
        <c:majorTickMark val="out"/>
        <c:minorTickMark val="none"/>
        <c:tickLblPos val="nextTo"/>
        <c:spPr>
          <a:ln w="3170">
            <a:solidFill>
              <a:srgbClr val="000000"/>
            </a:solidFill>
            <a:prstDash val="solid"/>
          </a:ln>
        </c:spPr>
        <c:txPr>
          <a:bodyPr rot="0" vert="horz"/>
          <a:lstStyle/>
          <a:p>
            <a:pPr>
              <a:defRPr/>
            </a:pPr>
            <a:endParaRPr lang="en-US"/>
          </a:p>
        </c:txPr>
        <c:crossAx val="185740520"/>
        <c:crosses val="autoZero"/>
        <c:crossBetween val="between"/>
        <c:majorUnit val="5.000000000000001E-2"/>
      </c:valAx>
      <c:spPr>
        <a:noFill/>
        <a:ln w="25363">
          <a:noFill/>
        </a:ln>
      </c:spPr>
    </c:plotArea>
    <c:plotVisOnly val="1"/>
    <c:dispBlanksAs val="gap"/>
    <c:showDLblsOverMax val="0"/>
  </c:chart>
  <c:spPr>
    <a:noFill/>
    <a:ln w="0">
      <a:solidFill>
        <a:srgbClr val="000000"/>
      </a:solidFill>
    </a:ln>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31490294482421"/>
          <c:y val="5.1162790697674418E-2"/>
          <c:w val="0.82783840054181257"/>
          <c:h val="0.71551913568943415"/>
        </c:manualLayout>
      </c:layout>
      <c:lineChart>
        <c:grouping val="stacked"/>
        <c:varyColors val="0"/>
        <c:ser>
          <c:idx val="0"/>
          <c:order val="0"/>
          <c:tx>
            <c:strRef>
              <c:f>Sheet1!$A$2</c:f>
              <c:strCache>
                <c:ptCount val="1"/>
                <c:pt idx="0">
                  <c:v>Producer Price Index Numbers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4.8195684941091776E-2"/>
                  <c:y val="4.471065604383212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0.11796217780469746"/>
                      <c:h val="5.7599092486320551E-2"/>
                    </c:manualLayout>
                  </c15:layout>
                </c:ext>
                <c:ext xmlns:c16="http://schemas.microsoft.com/office/drawing/2014/chart" uri="{C3380CC4-5D6E-409C-BE32-E72D297353CC}">
                  <c16:uniqueId val="{00000000-4983-4635-9275-EA0E7BB8C81C}"/>
                </c:ext>
              </c:extLst>
            </c:dLbl>
            <c:dLbl>
              <c:idx val="1"/>
              <c:delete val="1"/>
              <c:extLst>
                <c:ext xmlns:c15="http://schemas.microsoft.com/office/drawing/2012/chart" uri="{CE6537A1-D6FC-4f65-9D91-7224C49458BB}"/>
                <c:ext xmlns:c16="http://schemas.microsoft.com/office/drawing/2014/chart" uri="{C3380CC4-5D6E-409C-BE32-E72D297353CC}">
                  <c16:uniqueId val="{00000001-4983-4635-9275-EA0E7BB8C81C}"/>
                </c:ext>
              </c:extLst>
            </c:dLbl>
            <c:dLbl>
              <c:idx val="2"/>
              <c:delete val="1"/>
              <c:extLst>
                <c:ext xmlns:c15="http://schemas.microsoft.com/office/drawing/2012/chart" uri="{CE6537A1-D6FC-4f65-9D91-7224C49458BB}"/>
                <c:ext xmlns:c16="http://schemas.microsoft.com/office/drawing/2014/chart" uri="{C3380CC4-5D6E-409C-BE32-E72D297353CC}">
                  <c16:uniqueId val="{00000002-4983-4635-9275-EA0E7BB8C81C}"/>
                </c:ext>
              </c:extLst>
            </c:dLbl>
            <c:dLbl>
              <c:idx val="3"/>
              <c:delete val="1"/>
              <c:extLst>
                <c:ext xmlns:c15="http://schemas.microsoft.com/office/drawing/2012/chart" uri="{CE6537A1-D6FC-4f65-9D91-7224C49458BB}"/>
                <c:ext xmlns:c16="http://schemas.microsoft.com/office/drawing/2014/chart" uri="{C3380CC4-5D6E-409C-BE32-E72D297353CC}">
                  <c16:uniqueId val="{00000003-4983-4635-9275-EA0E7BB8C81C}"/>
                </c:ext>
              </c:extLst>
            </c:dLbl>
            <c:dLbl>
              <c:idx val="4"/>
              <c:delete val="1"/>
              <c:extLst>
                <c:ext xmlns:c15="http://schemas.microsoft.com/office/drawing/2012/chart" uri="{CE6537A1-D6FC-4f65-9D91-7224C49458BB}"/>
                <c:ext xmlns:c16="http://schemas.microsoft.com/office/drawing/2014/chart" uri="{C3380CC4-5D6E-409C-BE32-E72D297353CC}">
                  <c16:uniqueId val="{00000004-4983-4635-9275-EA0E7BB8C81C}"/>
                </c:ext>
              </c:extLst>
            </c:dLbl>
            <c:dLbl>
              <c:idx val="5"/>
              <c:delete val="1"/>
              <c:extLst>
                <c:ext xmlns:c15="http://schemas.microsoft.com/office/drawing/2012/chart" uri="{CE6537A1-D6FC-4f65-9D91-7224C49458BB}"/>
                <c:ext xmlns:c16="http://schemas.microsoft.com/office/drawing/2014/chart" uri="{C3380CC4-5D6E-409C-BE32-E72D297353CC}">
                  <c16:uniqueId val="{00000005-4983-4635-9275-EA0E7BB8C81C}"/>
                </c:ext>
              </c:extLst>
            </c:dLbl>
            <c:dLbl>
              <c:idx val="6"/>
              <c:delete val="1"/>
              <c:extLst>
                <c:ext xmlns:c15="http://schemas.microsoft.com/office/drawing/2012/chart" uri="{CE6537A1-D6FC-4f65-9D91-7224C49458BB}"/>
                <c:ext xmlns:c16="http://schemas.microsoft.com/office/drawing/2014/chart" uri="{C3380CC4-5D6E-409C-BE32-E72D297353CC}">
                  <c16:uniqueId val="{00000006-4983-4635-9275-EA0E7BB8C81C}"/>
                </c:ext>
              </c:extLst>
            </c:dLbl>
            <c:dLbl>
              <c:idx val="7"/>
              <c:delete val="1"/>
              <c:extLst>
                <c:ext xmlns:c15="http://schemas.microsoft.com/office/drawing/2012/chart" uri="{CE6537A1-D6FC-4f65-9D91-7224C49458BB}"/>
                <c:ext xmlns:c16="http://schemas.microsoft.com/office/drawing/2014/chart" uri="{C3380CC4-5D6E-409C-BE32-E72D297353CC}">
                  <c16:uniqueId val="{00000007-4983-4635-9275-EA0E7BB8C81C}"/>
                </c:ext>
              </c:extLst>
            </c:dLbl>
            <c:dLbl>
              <c:idx val="8"/>
              <c:delete val="1"/>
              <c:extLst>
                <c:ext xmlns:c15="http://schemas.microsoft.com/office/drawing/2012/chart" uri="{CE6537A1-D6FC-4f65-9D91-7224C49458BB}"/>
                <c:ext xmlns:c16="http://schemas.microsoft.com/office/drawing/2014/chart" uri="{C3380CC4-5D6E-409C-BE32-E72D297353CC}">
                  <c16:uniqueId val="{00000008-4983-4635-9275-EA0E7BB8C81C}"/>
                </c:ext>
              </c:extLst>
            </c:dLbl>
            <c:dLbl>
              <c:idx val="9"/>
              <c:delete val="1"/>
              <c:extLst>
                <c:ext xmlns:c15="http://schemas.microsoft.com/office/drawing/2012/chart" uri="{CE6537A1-D6FC-4f65-9D91-7224C49458BB}"/>
                <c:ext xmlns:c16="http://schemas.microsoft.com/office/drawing/2014/chart" uri="{C3380CC4-5D6E-409C-BE32-E72D297353CC}">
                  <c16:uniqueId val="{00000009-4983-4635-9275-EA0E7BB8C81C}"/>
                </c:ext>
              </c:extLst>
            </c:dLbl>
            <c:dLbl>
              <c:idx val="10"/>
              <c:delete val="1"/>
              <c:extLst>
                <c:ext xmlns:c15="http://schemas.microsoft.com/office/drawing/2012/chart" uri="{CE6537A1-D6FC-4f65-9D91-7224C49458BB}"/>
                <c:ext xmlns:c16="http://schemas.microsoft.com/office/drawing/2014/chart" uri="{C3380CC4-5D6E-409C-BE32-E72D297353CC}">
                  <c16:uniqueId val="{0000000A-4983-4635-9275-EA0E7BB8C81C}"/>
                </c:ext>
              </c:extLst>
            </c:dLbl>
            <c:dLbl>
              <c:idx val="11"/>
              <c:layout>
                <c:manualLayout>
                  <c:x val="-8.3090041095290439E-3"/>
                  <c:y val="-7.056985900018311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4983-4635-9275-EA0E7BB8C81C}"/>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Sheet1!$B$2:$M$2</c:f>
              <c:numCache>
                <c:formatCode>0.00</c:formatCode>
                <c:ptCount val="12"/>
                <c:pt idx="0">
                  <c:v>134.09</c:v>
                </c:pt>
                <c:pt idx="1">
                  <c:v>139.41</c:v>
                </c:pt>
                <c:pt idx="2">
                  <c:v>146.38</c:v>
                </c:pt>
                <c:pt idx="3">
                  <c:v>139</c:v>
                </c:pt>
                <c:pt idx="4">
                  <c:v>134.41</c:v>
                </c:pt>
                <c:pt idx="5">
                  <c:v>133.25</c:v>
                </c:pt>
                <c:pt idx="6">
                  <c:v>136.24</c:v>
                </c:pt>
                <c:pt idx="7">
                  <c:v>149.6</c:v>
                </c:pt>
                <c:pt idx="8">
                  <c:v>173.05</c:v>
                </c:pt>
                <c:pt idx="9">
                  <c:v>177.98</c:v>
                </c:pt>
                <c:pt idx="10">
                  <c:v>176.02</c:v>
                </c:pt>
                <c:pt idx="11">
                  <c:v>165.87</c:v>
                </c:pt>
              </c:numCache>
            </c:numRef>
          </c:val>
          <c:smooth val="1"/>
          <c:extLst>
            <c:ext xmlns:c16="http://schemas.microsoft.com/office/drawing/2014/chart" uri="{C3380CC4-5D6E-409C-BE32-E72D297353CC}">
              <c16:uniqueId val="{0000000C-4983-4635-9275-EA0E7BB8C81C}"/>
            </c:ext>
          </c:extLst>
        </c:ser>
        <c:dLbls>
          <c:dLblPos val="t"/>
          <c:showLegendKey val="0"/>
          <c:showVal val="1"/>
          <c:showCatName val="0"/>
          <c:showSerName val="0"/>
          <c:showPercent val="0"/>
          <c:showBubbleSize val="0"/>
        </c:dLbls>
        <c:marker val="1"/>
        <c:smooth val="0"/>
        <c:axId val="847706136"/>
        <c:axId val="847712040"/>
      </c:lineChart>
      <c:catAx>
        <c:axId val="847706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847712040"/>
        <c:crosses val="autoZero"/>
        <c:auto val="1"/>
        <c:lblAlgn val="ctr"/>
        <c:lblOffset val="100"/>
        <c:noMultiLvlLbl val="0"/>
      </c:catAx>
      <c:valAx>
        <c:axId val="847712040"/>
        <c:scaling>
          <c:orientation val="minMax"/>
          <c:max val="190"/>
          <c:min val="100"/>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Producer Price Index Numbers </a:t>
                </a:r>
              </a:p>
            </c:rich>
          </c:tx>
          <c:layout>
            <c:manualLayout>
              <c:xMode val="edge"/>
              <c:yMode val="edge"/>
              <c:x val="1.8993352326685659E-2"/>
              <c:y val="0.1230151986815601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rgbClr val="000000"/>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847706136"/>
        <c:crosses val="autoZero"/>
        <c:crossBetween val="between"/>
        <c:majorUnit val="10"/>
      </c:valAx>
      <c:spPr>
        <a:noFill/>
        <a:ln>
          <a:noFill/>
        </a:ln>
        <a:effectLst/>
      </c:spPr>
    </c:plotArea>
    <c:plotVisOnly val="1"/>
    <c:dispBlanksAs val="gap"/>
    <c:showDLblsOverMax val="0"/>
  </c:chart>
  <c:spPr>
    <a:solidFill>
      <a:schemeClr val="bg1"/>
    </a:solidFill>
    <a:ln w="0" cap="flat" cmpd="sng" algn="ctr">
      <a:solidFill>
        <a:srgbClr val="000000"/>
      </a:solid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15182175832082"/>
          <c:y val="8.2304526748971207E-2"/>
          <c:w val="0.80632250917873838"/>
          <c:h val="0.6820075409355556"/>
        </c:manualLayout>
      </c:layout>
      <c:lineChart>
        <c:grouping val="standard"/>
        <c:varyColors val="0"/>
        <c:ser>
          <c:idx val="0"/>
          <c:order val="0"/>
          <c:tx>
            <c:strRef>
              <c:f>Sheet1!$A$2</c:f>
              <c:strCache>
                <c:ptCount val="1"/>
                <c:pt idx="0">
                  <c:v>نسب التضخم في فلسطين</c:v>
                </c:pt>
              </c:strCache>
            </c:strRef>
          </c:tx>
          <c:spPr>
            <a:ln w="10878">
              <a:solidFill>
                <a:srgbClr val="000080"/>
              </a:solidFill>
              <a:prstDash val="solid"/>
            </a:ln>
          </c:spPr>
          <c:marker>
            <c:symbol val="diamond"/>
            <c:size val="3"/>
            <c:spPr>
              <a:solidFill>
                <a:srgbClr val="000080"/>
              </a:solidFill>
              <a:ln>
                <a:solidFill>
                  <a:srgbClr val="000080"/>
                </a:solidFill>
                <a:prstDash val="solid"/>
              </a:ln>
            </c:spPr>
          </c:marker>
          <c:dLbls>
            <c:dLbl>
              <c:idx val="1"/>
              <c:delete val="1"/>
              <c:extLst>
                <c:ext xmlns:c15="http://schemas.microsoft.com/office/drawing/2012/chart" uri="{CE6537A1-D6FC-4f65-9D91-7224C49458BB}"/>
                <c:ext xmlns:c16="http://schemas.microsoft.com/office/drawing/2014/chart" uri="{C3380CC4-5D6E-409C-BE32-E72D297353CC}">
                  <c16:uniqueId val="{00000000-461A-4498-9EB6-BCFD73C783F1}"/>
                </c:ext>
              </c:extLst>
            </c:dLbl>
            <c:dLbl>
              <c:idx val="2"/>
              <c:delete val="1"/>
              <c:extLst>
                <c:ext xmlns:c15="http://schemas.microsoft.com/office/drawing/2012/chart" uri="{CE6537A1-D6FC-4f65-9D91-7224C49458BB}"/>
                <c:ext xmlns:c16="http://schemas.microsoft.com/office/drawing/2014/chart" uri="{C3380CC4-5D6E-409C-BE32-E72D297353CC}">
                  <c16:uniqueId val="{00000001-461A-4498-9EB6-BCFD73C783F1}"/>
                </c:ext>
              </c:extLst>
            </c:dLbl>
            <c:dLbl>
              <c:idx val="3"/>
              <c:delete val="1"/>
              <c:extLst>
                <c:ext xmlns:c15="http://schemas.microsoft.com/office/drawing/2012/chart" uri="{CE6537A1-D6FC-4f65-9D91-7224C49458BB}"/>
                <c:ext xmlns:c16="http://schemas.microsoft.com/office/drawing/2014/chart" uri="{C3380CC4-5D6E-409C-BE32-E72D297353CC}">
                  <c16:uniqueId val="{00000002-461A-4498-9EB6-BCFD73C783F1}"/>
                </c:ext>
              </c:extLst>
            </c:dLbl>
            <c:dLbl>
              <c:idx val="4"/>
              <c:delete val="1"/>
              <c:extLst>
                <c:ext xmlns:c15="http://schemas.microsoft.com/office/drawing/2012/chart" uri="{CE6537A1-D6FC-4f65-9D91-7224C49458BB}"/>
                <c:ext xmlns:c16="http://schemas.microsoft.com/office/drawing/2014/chart" uri="{C3380CC4-5D6E-409C-BE32-E72D297353CC}">
                  <c16:uniqueId val="{00000003-461A-4498-9EB6-BCFD73C783F1}"/>
                </c:ext>
              </c:extLst>
            </c:dLbl>
            <c:dLbl>
              <c:idx val="7"/>
              <c:layout>
                <c:manualLayout>
                  <c:x val="8.2383633118220511E-3"/>
                  <c:y val="-3.018867924528311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461A-4498-9EB6-BCFD73C783F1}"/>
                </c:ext>
              </c:extLst>
            </c:dLbl>
            <c:dLbl>
              <c:idx val="8"/>
              <c:delete val="1"/>
              <c:extLst>
                <c:ext xmlns:c15="http://schemas.microsoft.com/office/drawing/2012/chart" uri="{CE6537A1-D6FC-4f65-9D91-7224C49458BB}"/>
                <c:ext xmlns:c16="http://schemas.microsoft.com/office/drawing/2014/chart" uri="{C3380CC4-5D6E-409C-BE32-E72D297353CC}">
                  <c16:uniqueId val="{00000005-461A-4498-9EB6-BCFD73C783F1}"/>
                </c:ext>
              </c:extLst>
            </c:dLbl>
            <c:dLbl>
              <c:idx val="9"/>
              <c:delete val="1"/>
              <c:extLst>
                <c:ext xmlns:c15="http://schemas.microsoft.com/office/drawing/2012/chart" uri="{CE6537A1-D6FC-4f65-9D91-7224C49458BB}"/>
                <c:ext xmlns:c16="http://schemas.microsoft.com/office/drawing/2014/chart" uri="{C3380CC4-5D6E-409C-BE32-E72D297353CC}">
                  <c16:uniqueId val="{00000006-461A-4498-9EB6-BCFD73C783F1}"/>
                </c:ext>
              </c:extLst>
            </c:dLbl>
            <c:dLbl>
              <c:idx val="10"/>
              <c:delete val="1"/>
              <c:extLst>
                <c:ext xmlns:c15="http://schemas.microsoft.com/office/drawing/2012/chart" uri="{CE6537A1-D6FC-4f65-9D91-7224C49458BB}"/>
                <c:ext xmlns:c16="http://schemas.microsoft.com/office/drawing/2014/chart" uri="{C3380CC4-5D6E-409C-BE32-E72D297353CC}">
                  <c16:uniqueId val="{00000007-461A-4498-9EB6-BCFD73C783F1}"/>
                </c:ext>
              </c:extLst>
            </c:dLbl>
            <c:dLbl>
              <c:idx val="11"/>
              <c:delete val="1"/>
              <c:extLst>
                <c:ext xmlns:c15="http://schemas.microsoft.com/office/drawing/2012/chart" uri="{CE6537A1-D6FC-4f65-9D91-7224C49458BB}"/>
                <c:ext xmlns:c16="http://schemas.microsoft.com/office/drawing/2014/chart" uri="{C3380CC4-5D6E-409C-BE32-E72D297353CC}">
                  <c16:uniqueId val="{00000008-461A-4498-9EB6-BCFD73C783F1}"/>
                </c:ext>
              </c:extLst>
            </c:dLbl>
            <c:dLbl>
              <c:idx val="12"/>
              <c:delete val="1"/>
              <c:extLst>
                <c:ext xmlns:c15="http://schemas.microsoft.com/office/drawing/2012/chart" uri="{CE6537A1-D6FC-4f65-9D91-7224C49458BB}"/>
                <c:ext xmlns:c16="http://schemas.microsoft.com/office/drawing/2014/chart" uri="{C3380CC4-5D6E-409C-BE32-E72D297353CC}">
                  <c16:uniqueId val="{00000009-461A-4498-9EB6-BCFD73C783F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a:noFill/>
                    </a:ln>
                  </c:spPr>
                </c15:leaderLines>
              </c:ext>
            </c:extLst>
          </c:dLbls>
          <c:cat>
            <c:numRef>
              <c:f>Sheet1!$B$1:$O$1</c:f>
              <c:numCache>
                <c:formatCode>General</c:formatCode>
                <c:ptCount val="14"/>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numCache>
            </c:numRef>
          </c:cat>
          <c:val>
            <c:numRef>
              <c:f>Sheet1!$B$2:$O$2</c:f>
              <c:numCache>
                <c:formatCode>0.00%</c:formatCode>
                <c:ptCount val="14"/>
                <c:pt idx="0">
                  <c:v>3.7600000000000001E-2</c:v>
                </c:pt>
                <c:pt idx="1">
                  <c:v>9.2999999999999992E-3</c:v>
                </c:pt>
                <c:pt idx="2">
                  <c:v>7.7999999999999996E-3</c:v>
                </c:pt>
                <c:pt idx="3">
                  <c:v>1.4800000000000001E-2</c:v>
                </c:pt>
                <c:pt idx="4">
                  <c:v>1.21E-2</c:v>
                </c:pt>
                <c:pt idx="5">
                  <c:v>1.6199999999999999E-2</c:v>
                </c:pt>
                <c:pt idx="6">
                  <c:v>-1.1702741605752132E-2</c:v>
                </c:pt>
                <c:pt idx="7">
                  <c:v>1.0523461850728354E-2</c:v>
                </c:pt>
                <c:pt idx="8">
                  <c:v>1.1123799878835427E-3</c:v>
                </c:pt>
                <c:pt idx="9">
                  <c:v>-1.0193081259541258E-3</c:v>
                </c:pt>
                <c:pt idx="10">
                  <c:v>1.2076920182650497E-2</c:v>
                </c:pt>
                <c:pt idx="11">
                  <c:v>7.41735679354521E-2</c:v>
                </c:pt>
                <c:pt idx="12">
                  <c:v>3.2218752973006415E-2</c:v>
                </c:pt>
                <c:pt idx="13">
                  <c:v>0.1593</c:v>
                </c:pt>
              </c:numCache>
            </c:numRef>
          </c:val>
          <c:smooth val="1"/>
          <c:extLst>
            <c:ext xmlns:c16="http://schemas.microsoft.com/office/drawing/2014/chart" uri="{C3380CC4-5D6E-409C-BE32-E72D297353CC}">
              <c16:uniqueId val="{0000000A-461A-4498-9EB6-BCFD73C783F1}"/>
            </c:ext>
          </c:extLst>
        </c:ser>
        <c:dLbls>
          <c:showLegendKey val="0"/>
          <c:showVal val="0"/>
          <c:showCatName val="0"/>
          <c:showSerName val="0"/>
          <c:showPercent val="0"/>
          <c:showBubbleSize val="0"/>
        </c:dLbls>
        <c:marker val="1"/>
        <c:smooth val="0"/>
        <c:axId val="120352768"/>
        <c:axId val="120354304"/>
      </c:lineChart>
      <c:catAx>
        <c:axId val="120352768"/>
        <c:scaling>
          <c:orientation val="minMax"/>
        </c:scaling>
        <c:delete val="0"/>
        <c:axPos val="b"/>
        <c:numFmt formatCode="General" sourceLinked="0"/>
        <c:majorTickMark val="out"/>
        <c:minorTickMark val="none"/>
        <c:tickLblPos val="nextTo"/>
        <c:spPr>
          <a:ln w="12700">
            <a:solidFill>
              <a:srgbClr val="000000"/>
            </a:solidFill>
            <a:prstDash val="solid"/>
          </a:ln>
        </c:spPr>
        <c:txPr>
          <a:bodyPr rot="2880000" vert="horz"/>
          <a:lstStyle/>
          <a:p>
            <a:pPr rtl="0">
              <a:defRPr/>
            </a:pPr>
            <a:endParaRPr lang="en-US"/>
          </a:p>
        </c:txPr>
        <c:crossAx val="120354304"/>
        <c:crossesAt val="0"/>
        <c:auto val="1"/>
        <c:lblAlgn val="ctr"/>
        <c:lblOffset val="700"/>
        <c:tickLblSkip val="1"/>
        <c:tickMarkSkip val="1"/>
        <c:noMultiLvlLbl val="0"/>
      </c:catAx>
      <c:valAx>
        <c:axId val="120354304"/>
        <c:scaling>
          <c:orientation val="minMax"/>
          <c:min val="-2.0000000000000004E-2"/>
        </c:scaling>
        <c:delete val="0"/>
        <c:axPos val="l"/>
        <c:title>
          <c:tx>
            <c:rich>
              <a:bodyPr/>
              <a:lstStyle/>
              <a:p>
                <a:pPr>
                  <a:defRPr b="1"/>
                </a:pPr>
                <a:r>
                  <a:rPr lang="en-US" b="1"/>
                  <a:t>Yearly Percent Change %</a:t>
                </a:r>
                <a:endParaRPr lang="ar-SA" b="1"/>
              </a:p>
            </c:rich>
          </c:tx>
          <c:layout>
            <c:manualLayout>
              <c:xMode val="edge"/>
              <c:yMode val="edge"/>
              <c:x val="1.4051584317207761E-2"/>
              <c:y val="0.1033993126549789"/>
            </c:manualLayout>
          </c:layout>
          <c:overlay val="0"/>
          <c:spPr>
            <a:noFill/>
            <a:ln w="21758">
              <a:noFill/>
            </a:ln>
          </c:spPr>
        </c:title>
        <c:numFmt formatCode="0%" sourceLinked="0"/>
        <c:majorTickMark val="out"/>
        <c:minorTickMark val="none"/>
        <c:tickLblPos val="nextTo"/>
        <c:spPr>
          <a:ln w="12700">
            <a:solidFill>
              <a:srgbClr val="000000"/>
            </a:solidFill>
            <a:prstDash val="solid"/>
          </a:ln>
        </c:spPr>
        <c:txPr>
          <a:bodyPr rot="0" vert="horz"/>
          <a:lstStyle/>
          <a:p>
            <a:pPr>
              <a:defRPr/>
            </a:pPr>
            <a:endParaRPr lang="en-US"/>
          </a:p>
        </c:txPr>
        <c:crossAx val="120352768"/>
        <c:crosses val="autoZero"/>
        <c:crossBetween val="between"/>
        <c:majorUnit val="2.0000000000000052E-2"/>
      </c:valAx>
      <c:spPr>
        <a:noFill/>
        <a:ln w="12700">
          <a:noFill/>
        </a:ln>
      </c:spPr>
    </c:plotArea>
    <c:plotVisOnly val="1"/>
    <c:dispBlanksAs val="gap"/>
    <c:showDLblsOverMax val="0"/>
  </c:chart>
  <c:spPr>
    <a:noFill/>
    <a:ln w="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85680428044328"/>
          <c:y val="7.6477005591692349E-2"/>
          <c:w val="0.77587047088523942"/>
          <c:h val="0.60049127579982731"/>
        </c:manualLayout>
      </c:layout>
      <c:lineChart>
        <c:grouping val="standard"/>
        <c:varyColors val="0"/>
        <c:ser>
          <c:idx val="0"/>
          <c:order val="0"/>
          <c:tx>
            <c:strRef>
              <c:f>Sheet1!$A$2</c:f>
              <c:strCache>
                <c:ptCount val="1"/>
                <c:pt idx="0">
                  <c:v>الرقم القياسي</c:v>
                </c:pt>
              </c:strCache>
            </c:strRef>
          </c:tx>
          <c:spPr>
            <a:ln w="11251">
              <a:solidFill>
                <a:srgbClr val="000080"/>
              </a:solidFill>
              <a:prstDash val="solid"/>
            </a:ln>
          </c:spPr>
          <c:marker>
            <c:symbol val="circle"/>
            <c:size val="3"/>
            <c:spPr>
              <a:solidFill>
                <a:srgbClr val="000080"/>
              </a:solidFill>
              <a:ln>
                <a:solidFill>
                  <a:srgbClr val="000080"/>
                </a:solidFill>
                <a:prstDash val="solid"/>
              </a:ln>
            </c:spPr>
          </c:marker>
          <c:dLbls>
            <c:dLbl>
              <c:idx val="0"/>
              <c:layout>
                <c:manualLayout>
                  <c:x val="-4.2861940254470529E-2"/>
                  <c:y val="-6.7810894363238797E-2"/>
                </c:manualLayout>
              </c:layout>
              <c:spPr>
                <a:noFill/>
                <a:ln w="22503">
                  <a:noFill/>
                </a:ln>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886-4D09-8FFC-D5FD5E2396C1}"/>
                </c:ext>
              </c:extLst>
            </c:dLbl>
            <c:dLbl>
              <c:idx val="12"/>
              <c:layout>
                <c:manualLayout>
                  <c:x val="-3.5794738855612802E-2"/>
                  <c:y val="-5.0697151228189498E-2"/>
                </c:manualLayout>
              </c:layout>
              <c:spPr>
                <a:noFill/>
                <a:ln>
                  <a:noFill/>
                </a:ln>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886-4D09-8FFC-D5FD5E2396C1}"/>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15:leaderLines>
                  <c:spPr>
                    <a:ln>
                      <a:noFill/>
                    </a:ln>
                  </c:spPr>
                </c15:leaderLines>
              </c:ext>
            </c:extLst>
          </c:dLbls>
          <c:cat>
            <c:strRef>
              <c:f>Sheet1!$B$1:$N$1</c:f>
              <c:strCache>
                <c:ptCount val="13"/>
                <c:pt idx="0">
                  <c:v>Q4 2021</c:v>
                </c:pt>
                <c:pt idx="1">
                  <c:v>Q1 2022</c:v>
                </c:pt>
                <c:pt idx="2">
                  <c:v>Q2 2022</c:v>
                </c:pt>
                <c:pt idx="3">
                  <c:v>Q3 2022</c:v>
                </c:pt>
                <c:pt idx="4">
                  <c:v>Q4 2022</c:v>
                </c:pt>
                <c:pt idx="5">
                  <c:v>Q1 2023</c:v>
                </c:pt>
                <c:pt idx="6">
                  <c:v>Q2 2023</c:v>
                </c:pt>
                <c:pt idx="7">
                  <c:v>Q3 2023</c:v>
                </c:pt>
                <c:pt idx="8">
                  <c:v>Q4 2023</c:v>
                </c:pt>
                <c:pt idx="9">
                  <c:v>Q1 2024</c:v>
                </c:pt>
                <c:pt idx="10">
                  <c:v>Q2 2024</c:v>
                </c:pt>
                <c:pt idx="11">
                  <c:v>Q3 2024</c:v>
                </c:pt>
                <c:pt idx="12">
                  <c:v>Q4 2024</c:v>
                </c:pt>
              </c:strCache>
            </c:strRef>
          </c:cat>
          <c:val>
            <c:numRef>
              <c:f>Sheet1!$B$2:$N$2</c:f>
              <c:numCache>
                <c:formatCode>0.00</c:formatCode>
                <c:ptCount val="13"/>
                <c:pt idx="0">
                  <c:v>102.18067932556345</c:v>
                </c:pt>
                <c:pt idx="1">
                  <c:v>105.50670625740972</c:v>
                </c:pt>
                <c:pt idx="2">
                  <c:v>108.4063273855642</c:v>
                </c:pt>
                <c:pt idx="3">
                  <c:v>107.31362250041123</c:v>
                </c:pt>
                <c:pt idx="4">
                  <c:v>108.44277103079563</c:v>
                </c:pt>
                <c:pt idx="5">
                  <c:v>109.52277576409038</c:v>
                </c:pt>
                <c:pt idx="6">
                  <c:v>108.17308696540407</c:v>
                </c:pt>
                <c:pt idx="7">
                  <c:v>109.65900476975767</c:v>
                </c:pt>
                <c:pt idx="8">
                  <c:v>116.15797280910681</c:v>
                </c:pt>
                <c:pt idx="9">
                  <c:v>122.22</c:v>
                </c:pt>
                <c:pt idx="10">
                  <c:v>129.87</c:v>
                </c:pt>
                <c:pt idx="11">
                  <c:v>127.83</c:v>
                </c:pt>
                <c:pt idx="12">
                  <c:v>134.26</c:v>
                </c:pt>
              </c:numCache>
            </c:numRef>
          </c:val>
          <c:smooth val="1"/>
          <c:extLst>
            <c:ext xmlns:c16="http://schemas.microsoft.com/office/drawing/2014/chart" uri="{C3380CC4-5D6E-409C-BE32-E72D297353CC}">
              <c16:uniqueId val="{00000002-5886-4D09-8FFC-D5FD5E2396C1}"/>
            </c:ext>
          </c:extLst>
        </c:ser>
        <c:dLbls>
          <c:showLegendKey val="0"/>
          <c:showVal val="0"/>
          <c:showCatName val="0"/>
          <c:showSerName val="0"/>
          <c:showPercent val="0"/>
          <c:showBubbleSize val="0"/>
        </c:dLbls>
        <c:marker val="1"/>
        <c:smooth val="0"/>
        <c:axId val="78461568"/>
        <c:axId val="120358400"/>
      </c:lineChart>
      <c:catAx>
        <c:axId val="78461568"/>
        <c:scaling>
          <c:orientation val="minMax"/>
        </c:scaling>
        <c:delete val="0"/>
        <c:axPos val="b"/>
        <c:numFmt formatCode="General" sourceLinked="1"/>
        <c:majorTickMark val="out"/>
        <c:minorTickMark val="out"/>
        <c:tickLblPos val="nextTo"/>
        <c:spPr>
          <a:ln w="2813">
            <a:solidFill>
              <a:srgbClr val="000000"/>
            </a:solidFill>
            <a:prstDash val="solid"/>
          </a:ln>
        </c:spPr>
        <c:txPr>
          <a:bodyPr rot="3900000" vert="horz"/>
          <a:lstStyle/>
          <a:p>
            <a:pPr>
              <a:defRPr/>
            </a:pPr>
            <a:endParaRPr lang="en-US"/>
          </a:p>
        </c:txPr>
        <c:crossAx val="120358400"/>
        <c:crosses val="autoZero"/>
        <c:auto val="1"/>
        <c:lblAlgn val="ctr"/>
        <c:lblOffset val="100"/>
        <c:tickLblSkip val="1"/>
        <c:tickMarkSkip val="2"/>
        <c:noMultiLvlLbl val="0"/>
      </c:catAx>
      <c:valAx>
        <c:axId val="120358400"/>
        <c:scaling>
          <c:orientation val="minMax"/>
          <c:max val="136"/>
          <c:min val="100"/>
        </c:scaling>
        <c:delete val="0"/>
        <c:axPos val="l"/>
        <c:title>
          <c:tx>
            <c:rich>
              <a:bodyPr/>
              <a:lstStyle/>
              <a:p>
                <a:pPr>
                  <a:defRPr b="1"/>
                </a:pPr>
                <a:r>
                  <a:rPr lang="en-US" b="1"/>
                  <a:t>Wholesale Price Index Numbers</a:t>
                </a:r>
              </a:p>
            </c:rich>
          </c:tx>
          <c:layout>
            <c:manualLayout>
              <c:xMode val="edge"/>
              <c:yMode val="edge"/>
              <c:x val="2.9006526468455404E-2"/>
              <c:y val="0.10462550075977345"/>
            </c:manualLayout>
          </c:layout>
          <c:overlay val="0"/>
          <c:spPr>
            <a:noFill/>
            <a:ln w="22503">
              <a:noFill/>
            </a:ln>
          </c:spPr>
        </c:title>
        <c:numFmt formatCode="0" sourceLinked="0"/>
        <c:majorTickMark val="out"/>
        <c:minorTickMark val="none"/>
        <c:tickLblPos val="nextTo"/>
        <c:spPr>
          <a:ln w="2813">
            <a:solidFill>
              <a:srgbClr val="000000"/>
            </a:solidFill>
            <a:prstDash val="solid"/>
          </a:ln>
        </c:spPr>
        <c:txPr>
          <a:bodyPr rot="0" vert="horz"/>
          <a:lstStyle/>
          <a:p>
            <a:pPr>
              <a:defRPr/>
            </a:pPr>
            <a:endParaRPr lang="en-US"/>
          </a:p>
        </c:txPr>
        <c:crossAx val="78461568"/>
        <c:crosses val="autoZero"/>
        <c:crossBetween val="between"/>
        <c:majorUnit val="4"/>
      </c:valAx>
      <c:spPr>
        <a:noFill/>
        <a:ln w="22504">
          <a:noFill/>
        </a:ln>
      </c:spPr>
    </c:plotArea>
    <c:plotVisOnly val="1"/>
    <c:dispBlanksAs val="gap"/>
    <c:showDLblsOverMax val="0"/>
  </c:chart>
  <c:spPr>
    <a:noFill/>
    <a:ln w="0">
      <a:solidFill>
        <a:schemeClr val="tx1"/>
      </a:solid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35700370595215"/>
          <c:y val="8.2304526748971207E-2"/>
          <c:w val="0.78311730380652922"/>
          <c:h val="0.67732732543324747"/>
        </c:manualLayout>
      </c:layout>
      <c:lineChart>
        <c:grouping val="standard"/>
        <c:varyColors val="0"/>
        <c:ser>
          <c:idx val="0"/>
          <c:order val="0"/>
          <c:tx>
            <c:strRef>
              <c:f>Sheet1!$A$2</c:f>
              <c:strCache>
                <c:ptCount val="1"/>
                <c:pt idx="0">
                  <c:v>نسب التضخم في فلسطين</c:v>
                </c:pt>
              </c:strCache>
            </c:strRef>
          </c:tx>
          <c:spPr>
            <a:ln w="10878">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3.1245477031420454E-2"/>
                  <c:y val="-3.942519462797886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3BF-42E2-B2BA-FE1A50A4BC2B}"/>
                </c:ext>
              </c:extLst>
            </c:dLbl>
            <c:dLbl>
              <c:idx val="1"/>
              <c:layout>
                <c:manualLayout>
                  <c:x val="-3.7399309551208286E-2"/>
                  <c:y val="-5.09049773755656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3BF-42E2-B2BA-FE1A50A4BC2B}"/>
                </c:ext>
              </c:extLst>
            </c:dLbl>
            <c:dLbl>
              <c:idx val="2"/>
              <c:layout>
                <c:manualLayout>
                  <c:x val="-6.9044879171461501E-2"/>
                  <c:y val="4.52488687782805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3BF-42E2-B2BA-FE1A50A4BC2B}"/>
                </c:ext>
              </c:extLst>
            </c:dLbl>
            <c:dLbl>
              <c:idx val="3"/>
              <c:layout>
                <c:manualLayout>
                  <c:x val="-3.4522439585730723E-2"/>
                  <c:y val="4.52488687782805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3BF-42E2-B2BA-FE1A50A4BC2B}"/>
                </c:ext>
              </c:extLst>
            </c:dLbl>
            <c:dLbl>
              <c:idx val="4"/>
              <c:layout>
                <c:manualLayout>
                  <c:x val="-6.3291139240506333E-2"/>
                  <c:y val="-5.656108597285067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83BF-42E2-B2BA-FE1A50A4BC2B}"/>
                </c:ext>
              </c:extLst>
            </c:dLbl>
            <c:dLbl>
              <c:idx val="5"/>
              <c:layout>
                <c:manualLayout>
                  <c:x val="-9.828953479580485E-2"/>
                  <c:y val="5.544480521645208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83BF-42E2-B2BA-FE1A50A4BC2B}"/>
                </c:ext>
              </c:extLst>
            </c:dLbl>
            <c:dLbl>
              <c:idx val="6"/>
              <c:layout>
                <c:manualLayout>
                  <c:x val="-4.341985029649071E-2"/>
                  <c:y val="-6.769453352623897E-2"/>
                </c:manualLayout>
              </c:layout>
              <c:spPr>
                <a:noFill/>
                <a:ln>
                  <a:noFill/>
                </a:ln>
                <a:effectLst/>
              </c:spPr>
              <c:txPr>
                <a:bodyPr wrap="square" lIns="38100" tIns="19050" rIns="38100" bIns="19050" anchor="ctr">
                  <a:no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8.9684499314128946E-2"/>
                      <c:h val="9.141992305999852E-2"/>
                    </c:manualLayout>
                  </c15:layout>
                </c:ext>
                <c:ext xmlns:c16="http://schemas.microsoft.com/office/drawing/2014/chart" uri="{C3380CC4-5D6E-409C-BE32-E72D297353CC}">
                  <c16:uniqueId val="{00000006-83BF-42E2-B2BA-FE1A50A4BC2B}"/>
                </c:ext>
              </c:extLst>
            </c:dLbl>
            <c:dLbl>
              <c:idx val="7"/>
              <c:layout>
                <c:manualLayout>
                  <c:x val="-5.4660529344073755E-2"/>
                  <c:y val="-4.52488687782805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83BF-42E2-B2BA-FE1A50A4BC2B}"/>
                </c:ext>
              </c:extLst>
            </c:dLbl>
            <c:dLbl>
              <c:idx val="8"/>
              <c:layout>
                <c:manualLayout>
                  <c:x val="-8.6306098964326807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83BF-42E2-B2BA-FE1A50A4BC2B}"/>
                </c:ext>
              </c:extLst>
            </c:dLbl>
            <c:dLbl>
              <c:idx val="9"/>
              <c:layout>
                <c:manualLayout>
                  <c:x val="-1.8861778080209109E-2"/>
                  <c:y val="-6.783965721473639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83BF-42E2-B2BA-FE1A50A4BC2B}"/>
                </c:ext>
              </c:extLst>
            </c:dLbl>
            <c:dLbl>
              <c:idx val="10"/>
              <c:layout>
                <c:manualLayout>
                  <c:x val="-1.9204389574759947E-2"/>
                  <c:y val="-5.64493367202936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83BF-42E2-B2BA-FE1A50A4BC2B}"/>
                </c:ext>
              </c:extLst>
            </c:dLbl>
            <c:dLbl>
              <c:idx val="11"/>
              <c:layout>
                <c:manualLayout>
                  <c:x val="-3.5665294924554183E-2"/>
                  <c:y val="5.644933672029353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83BF-42E2-B2BA-FE1A50A4BC2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a:noFill/>
                    </a:ln>
                  </c:spPr>
                </c15:leaderLines>
              </c:ext>
            </c:extLst>
          </c:dLbls>
          <c:cat>
            <c:numRef>
              <c:f>Sheet1!$B$1:$M$1</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Sheet1!$B$2:$M$2</c:f>
              <c:numCache>
                <c:formatCode>0.00%</c:formatCode>
                <c:ptCount val="12"/>
                <c:pt idx="0">
                  <c:v>7.820682469987332E-2</c:v>
                </c:pt>
                <c:pt idx="1">
                  <c:v>-3.9192560542787476E-2</c:v>
                </c:pt>
                <c:pt idx="2">
                  <c:v>-3.8043441720517851E-2</c:v>
                </c:pt>
                <c:pt idx="3">
                  <c:v>9.5815698132545885E-3</c:v>
                </c:pt>
                <c:pt idx="4">
                  <c:v>4.1146391261292624E-2</c:v>
                </c:pt>
                <c:pt idx="5">
                  <c:v>-3.9411488642589913E-2</c:v>
                </c:pt>
                <c:pt idx="6">
                  <c:v>3.8618817536508344E-2</c:v>
                </c:pt>
                <c:pt idx="7">
                  <c:v>-7.9500218425607158E-2</c:v>
                </c:pt>
                <c:pt idx="8">
                  <c:v>0.14133438947809879</c:v>
                </c:pt>
                <c:pt idx="9">
                  <c:v>3.2707656219268272E-2</c:v>
                </c:pt>
                <c:pt idx="10">
                  <c:v>-8.0084450058070897E-2</c:v>
                </c:pt>
                <c:pt idx="11">
                  <c:v>-0.19839999999999999</c:v>
                </c:pt>
              </c:numCache>
            </c:numRef>
          </c:val>
          <c:smooth val="1"/>
          <c:extLst>
            <c:ext xmlns:c16="http://schemas.microsoft.com/office/drawing/2014/chart" uri="{C3380CC4-5D6E-409C-BE32-E72D297353CC}">
              <c16:uniqueId val="{0000000C-83BF-42E2-B2BA-FE1A50A4BC2B}"/>
            </c:ext>
          </c:extLst>
        </c:ser>
        <c:dLbls>
          <c:showLegendKey val="0"/>
          <c:showVal val="0"/>
          <c:showCatName val="0"/>
          <c:showSerName val="0"/>
          <c:showPercent val="0"/>
          <c:showBubbleSize val="0"/>
        </c:dLbls>
        <c:marker val="1"/>
        <c:smooth val="0"/>
        <c:axId val="120352768"/>
        <c:axId val="120354304"/>
      </c:lineChart>
      <c:catAx>
        <c:axId val="120352768"/>
        <c:scaling>
          <c:orientation val="minMax"/>
        </c:scaling>
        <c:delete val="0"/>
        <c:axPos val="b"/>
        <c:numFmt formatCode="General" sourceLinked="0"/>
        <c:majorTickMark val="out"/>
        <c:minorTickMark val="none"/>
        <c:tickLblPos val="nextTo"/>
        <c:spPr>
          <a:ln w="12700">
            <a:solidFill>
              <a:srgbClr val="000000"/>
            </a:solidFill>
            <a:prstDash val="solid"/>
          </a:ln>
        </c:spPr>
        <c:txPr>
          <a:bodyPr rot="2880000" vert="horz"/>
          <a:lstStyle/>
          <a:p>
            <a:pPr rtl="0">
              <a:defRPr/>
            </a:pPr>
            <a:endParaRPr lang="en-US"/>
          </a:p>
        </c:txPr>
        <c:crossAx val="120354304"/>
        <c:crossesAt val="0"/>
        <c:auto val="1"/>
        <c:lblAlgn val="ctr"/>
        <c:lblOffset val="1000"/>
        <c:tickLblSkip val="1"/>
        <c:tickMarkSkip val="1"/>
        <c:noMultiLvlLbl val="0"/>
      </c:catAx>
      <c:valAx>
        <c:axId val="120354304"/>
        <c:scaling>
          <c:orientation val="minMax"/>
          <c:min val="-0.25"/>
        </c:scaling>
        <c:delete val="0"/>
        <c:axPos val="l"/>
        <c:title>
          <c:tx>
            <c:rich>
              <a:bodyPr/>
              <a:lstStyle/>
              <a:p>
                <a:pPr>
                  <a:defRPr b="1"/>
                </a:pPr>
                <a:r>
                  <a:rPr lang="en-US" b="1"/>
                  <a:t>Yearly Percent Chenge %</a:t>
                </a:r>
                <a:endParaRPr lang="ar-SA" b="1"/>
              </a:p>
            </c:rich>
          </c:tx>
          <c:layout>
            <c:manualLayout>
              <c:xMode val="edge"/>
              <c:yMode val="edge"/>
              <c:x val="8.2978443862526396E-3"/>
              <c:y val="0.12624108465134584"/>
            </c:manualLayout>
          </c:layout>
          <c:overlay val="0"/>
          <c:spPr>
            <a:noFill/>
            <a:ln w="21758">
              <a:noFill/>
            </a:ln>
          </c:spPr>
        </c:title>
        <c:numFmt formatCode="0%" sourceLinked="0"/>
        <c:majorTickMark val="out"/>
        <c:minorTickMark val="none"/>
        <c:tickLblPos val="nextTo"/>
        <c:spPr>
          <a:ln w="12700">
            <a:solidFill>
              <a:srgbClr val="000000"/>
            </a:solidFill>
            <a:prstDash val="solid"/>
          </a:ln>
        </c:spPr>
        <c:txPr>
          <a:bodyPr rot="0" vert="horz"/>
          <a:lstStyle/>
          <a:p>
            <a:pPr>
              <a:defRPr/>
            </a:pPr>
            <a:endParaRPr lang="en-US"/>
          </a:p>
        </c:txPr>
        <c:crossAx val="120352768"/>
        <c:crosses val="autoZero"/>
        <c:crossBetween val="between"/>
      </c:valAx>
      <c:spPr>
        <a:noFill/>
        <a:ln w="12700">
          <a:noFill/>
        </a:ln>
      </c:spPr>
    </c:plotArea>
    <c:plotVisOnly val="1"/>
    <c:dispBlanksAs val="gap"/>
    <c:showDLblsOverMax val="0"/>
  </c:chart>
  <c:spPr>
    <a:noFill/>
    <a:ln w="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31490294482421"/>
          <c:y val="5.1162790697674418E-2"/>
          <c:w val="0.82783840054181257"/>
          <c:h val="0.71551913568943415"/>
        </c:manualLayout>
      </c:layout>
      <c:lineChart>
        <c:grouping val="standard"/>
        <c:varyColors val="0"/>
        <c:ser>
          <c:idx val="0"/>
          <c:order val="0"/>
          <c:tx>
            <c:strRef>
              <c:f>Sheet1!$A$2</c:f>
              <c:strCache>
                <c:ptCount val="1"/>
                <c:pt idx="0">
                  <c:v>Industrial Production Index Numbers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5.4979025057765217E-2"/>
                  <c:y val="-4.875862846439351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393-42B7-B01A-57C0B6D3AB78}"/>
                </c:ext>
              </c:extLst>
            </c:dLbl>
            <c:dLbl>
              <c:idx val="1"/>
              <c:delete val="1"/>
              <c:extLst>
                <c:ext xmlns:c15="http://schemas.microsoft.com/office/drawing/2012/chart" uri="{CE6537A1-D6FC-4f65-9D91-7224C49458BB}"/>
                <c:ext xmlns:c16="http://schemas.microsoft.com/office/drawing/2014/chart" uri="{C3380CC4-5D6E-409C-BE32-E72D297353CC}">
                  <c16:uniqueId val="{00000001-C393-42B7-B01A-57C0B6D3AB78}"/>
                </c:ext>
              </c:extLst>
            </c:dLbl>
            <c:dLbl>
              <c:idx val="2"/>
              <c:delete val="1"/>
              <c:extLst>
                <c:ext xmlns:c15="http://schemas.microsoft.com/office/drawing/2012/chart" uri="{CE6537A1-D6FC-4f65-9D91-7224C49458BB}"/>
                <c:ext xmlns:c16="http://schemas.microsoft.com/office/drawing/2014/chart" uri="{C3380CC4-5D6E-409C-BE32-E72D297353CC}">
                  <c16:uniqueId val="{00000002-C393-42B7-B01A-57C0B6D3AB78}"/>
                </c:ext>
              </c:extLst>
            </c:dLbl>
            <c:dLbl>
              <c:idx val="3"/>
              <c:delete val="1"/>
              <c:extLst>
                <c:ext xmlns:c15="http://schemas.microsoft.com/office/drawing/2012/chart" uri="{CE6537A1-D6FC-4f65-9D91-7224C49458BB}"/>
                <c:ext xmlns:c16="http://schemas.microsoft.com/office/drawing/2014/chart" uri="{C3380CC4-5D6E-409C-BE32-E72D297353CC}">
                  <c16:uniqueId val="{00000003-C393-42B7-B01A-57C0B6D3AB78}"/>
                </c:ext>
              </c:extLst>
            </c:dLbl>
            <c:dLbl>
              <c:idx val="4"/>
              <c:delete val="1"/>
              <c:extLst>
                <c:ext xmlns:c15="http://schemas.microsoft.com/office/drawing/2012/chart" uri="{CE6537A1-D6FC-4f65-9D91-7224C49458BB}"/>
                <c:ext xmlns:c16="http://schemas.microsoft.com/office/drawing/2014/chart" uri="{C3380CC4-5D6E-409C-BE32-E72D297353CC}">
                  <c16:uniqueId val="{00000004-C393-42B7-B01A-57C0B6D3AB78}"/>
                </c:ext>
              </c:extLst>
            </c:dLbl>
            <c:dLbl>
              <c:idx val="5"/>
              <c:delete val="1"/>
              <c:extLst>
                <c:ext xmlns:c15="http://schemas.microsoft.com/office/drawing/2012/chart" uri="{CE6537A1-D6FC-4f65-9D91-7224C49458BB}"/>
                <c:ext xmlns:c16="http://schemas.microsoft.com/office/drawing/2014/chart" uri="{C3380CC4-5D6E-409C-BE32-E72D297353CC}">
                  <c16:uniqueId val="{00000005-C393-42B7-B01A-57C0B6D3AB78}"/>
                </c:ext>
              </c:extLst>
            </c:dLbl>
            <c:dLbl>
              <c:idx val="6"/>
              <c:delete val="1"/>
              <c:extLst>
                <c:ext xmlns:c15="http://schemas.microsoft.com/office/drawing/2012/chart" uri="{CE6537A1-D6FC-4f65-9D91-7224C49458BB}"/>
                <c:ext xmlns:c16="http://schemas.microsoft.com/office/drawing/2014/chart" uri="{C3380CC4-5D6E-409C-BE32-E72D297353CC}">
                  <c16:uniqueId val="{00000006-C393-42B7-B01A-57C0B6D3AB78}"/>
                </c:ext>
              </c:extLst>
            </c:dLbl>
            <c:dLbl>
              <c:idx val="7"/>
              <c:delete val="1"/>
              <c:extLst>
                <c:ext xmlns:c15="http://schemas.microsoft.com/office/drawing/2012/chart" uri="{CE6537A1-D6FC-4f65-9D91-7224C49458BB}"/>
                <c:ext xmlns:c16="http://schemas.microsoft.com/office/drawing/2014/chart" uri="{C3380CC4-5D6E-409C-BE32-E72D297353CC}">
                  <c16:uniqueId val="{00000007-C393-42B7-B01A-57C0B6D3AB78}"/>
                </c:ext>
              </c:extLst>
            </c:dLbl>
            <c:dLbl>
              <c:idx val="8"/>
              <c:delete val="1"/>
              <c:extLst>
                <c:ext xmlns:c15="http://schemas.microsoft.com/office/drawing/2012/chart" uri="{CE6537A1-D6FC-4f65-9D91-7224C49458BB}"/>
                <c:ext xmlns:c16="http://schemas.microsoft.com/office/drawing/2014/chart" uri="{C3380CC4-5D6E-409C-BE32-E72D297353CC}">
                  <c16:uniqueId val="{00000008-C393-42B7-B01A-57C0B6D3AB78}"/>
                </c:ext>
              </c:extLst>
            </c:dLbl>
            <c:dLbl>
              <c:idx val="9"/>
              <c:delete val="1"/>
              <c:extLst>
                <c:ext xmlns:c15="http://schemas.microsoft.com/office/drawing/2012/chart" uri="{CE6537A1-D6FC-4f65-9D91-7224C49458BB}"/>
                <c:ext xmlns:c16="http://schemas.microsoft.com/office/drawing/2014/chart" uri="{C3380CC4-5D6E-409C-BE32-E72D297353CC}">
                  <c16:uniqueId val="{00000009-C393-42B7-B01A-57C0B6D3AB78}"/>
                </c:ext>
              </c:extLst>
            </c:dLbl>
            <c:dLbl>
              <c:idx val="10"/>
              <c:delete val="1"/>
              <c:extLst>
                <c:ext xmlns:c15="http://schemas.microsoft.com/office/drawing/2012/chart" uri="{CE6537A1-D6FC-4f65-9D91-7224C49458BB}"/>
                <c:ext xmlns:c16="http://schemas.microsoft.com/office/drawing/2014/chart" uri="{C3380CC4-5D6E-409C-BE32-E72D297353CC}">
                  <c16:uniqueId val="{0000000A-C393-42B7-B01A-57C0B6D3AB78}"/>
                </c:ext>
              </c:extLst>
            </c:dLbl>
            <c:dLbl>
              <c:idx val="11"/>
              <c:layout>
                <c:manualLayout>
                  <c:x val="-8.3090041095290439E-3"/>
                  <c:y val="-7.056985900018311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C393-42B7-B01A-57C0B6D3AB78}"/>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Sheet1!$B$2:$M$2</c:f>
              <c:numCache>
                <c:formatCode>0.00</c:formatCode>
                <c:ptCount val="12"/>
                <c:pt idx="0">
                  <c:v>80.02</c:v>
                </c:pt>
                <c:pt idx="1">
                  <c:v>80.47</c:v>
                </c:pt>
                <c:pt idx="2">
                  <c:v>80.12</c:v>
                </c:pt>
                <c:pt idx="3">
                  <c:v>75.069999999999993</c:v>
                </c:pt>
                <c:pt idx="4">
                  <c:v>78.44</c:v>
                </c:pt>
                <c:pt idx="5">
                  <c:v>74.72</c:v>
                </c:pt>
                <c:pt idx="6">
                  <c:v>82.9</c:v>
                </c:pt>
                <c:pt idx="7">
                  <c:v>81.540000000000006</c:v>
                </c:pt>
                <c:pt idx="8">
                  <c:v>81.03</c:v>
                </c:pt>
                <c:pt idx="9">
                  <c:v>84.43</c:v>
                </c:pt>
                <c:pt idx="10">
                  <c:v>81.12</c:v>
                </c:pt>
                <c:pt idx="11">
                  <c:v>80.260000000000005</c:v>
                </c:pt>
              </c:numCache>
            </c:numRef>
          </c:val>
          <c:smooth val="1"/>
          <c:extLst>
            <c:ext xmlns:c16="http://schemas.microsoft.com/office/drawing/2014/chart" uri="{C3380CC4-5D6E-409C-BE32-E72D297353CC}">
              <c16:uniqueId val="{0000000C-C393-42B7-B01A-57C0B6D3AB78}"/>
            </c:ext>
          </c:extLst>
        </c:ser>
        <c:dLbls>
          <c:dLblPos val="t"/>
          <c:showLegendKey val="0"/>
          <c:showVal val="1"/>
          <c:showCatName val="0"/>
          <c:showSerName val="0"/>
          <c:showPercent val="0"/>
          <c:showBubbleSize val="0"/>
        </c:dLbls>
        <c:marker val="1"/>
        <c:smooth val="0"/>
        <c:axId val="847706136"/>
        <c:axId val="847712040"/>
      </c:lineChart>
      <c:catAx>
        <c:axId val="847706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847712040"/>
        <c:crossesAt val="0"/>
        <c:auto val="1"/>
        <c:lblAlgn val="ctr"/>
        <c:lblOffset val="100"/>
        <c:noMultiLvlLbl val="0"/>
      </c:catAx>
      <c:valAx>
        <c:axId val="847712040"/>
        <c:scaling>
          <c:orientation val="minMax"/>
          <c:max val="90"/>
          <c:min val="70"/>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Industrial Production Index Numbers </a:t>
                </a:r>
              </a:p>
            </c:rich>
          </c:tx>
          <c:layout>
            <c:manualLayout>
              <c:xMode val="edge"/>
              <c:yMode val="edge"/>
              <c:x val="1.085334418667752E-2"/>
              <c:y val="0.11750841166880571"/>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0" sourceLinked="1"/>
        <c:majorTickMark val="out"/>
        <c:minorTickMark val="none"/>
        <c:tickLblPos val="nextTo"/>
        <c:spPr>
          <a:noFill/>
          <a:ln>
            <a:solidFill>
              <a:schemeClr val="accent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847706136"/>
        <c:crosses val="autoZero"/>
        <c:crossBetween val="between"/>
      </c:valAx>
      <c:spPr>
        <a:noFill/>
        <a:ln>
          <a:noFill/>
        </a:ln>
        <a:effectLst/>
      </c:spPr>
    </c:plotArea>
    <c:plotVisOnly val="1"/>
    <c:dispBlanksAs val="gap"/>
    <c:showDLblsOverMax val="0"/>
  </c:chart>
  <c:spPr>
    <a:solidFill>
      <a:schemeClr val="bg1"/>
    </a:solidFill>
    <a:ln w="0" cap="flat" cmpd="sng" algn="ctr">
      <a:solidFill>
        <a:srgbClr val="000000"/>
      </a:solid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7941138505227831E-2"/>
          <c:y val="6.2950911650668698E-2"/>
          <c:w val="0.95944602211608798"/>
          <c:h val="0.83707558327806342"/>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Sheet1!$B$2:$B$17</c:f>
              <c:numCache>
                <c:formatCode>General</c:formatCode>
                <c:ptCount val="16"/>
                <c:pt idx="0">
                  <c:v>0.11364815391228289</c:v>
                </c:pt>
                <c:pt idx="1">
                  <c:v>0.19824769824769817</c:v>
                </c:pt>
                <c:pt idx="2">
                  <c:v>2.2761638194511491E-2</c:v>
                </c:pt>
                <c:pt idx="3">
                  <c:v>0.58673818263376432</c:v>
                </c:pt>
                <c:pt idx="4">
                  <c:v>0.55659349944608238</c:v>
                </c:pt>
                <c:pt idx="5">
                  <c:v>0.58333333333333348</c:v>
                </c:pt>
                <c:pt idx="6">
                  <c:v>0.4023228878450551</c:v>
                </c:pt>
                <c:pt idx="7">
                  <c:v>0.57686054451789115</c:v>
                </c:pt>
                <c:pt idx="8">
                  <c:v>0.54047481892098603</c:v>
                </c:pt>
                <c:pt idx="9">
                  <c:v>0.42628019504175452</c:v>
                </c:pt>
                <c:pt idx="10">
                  <c:v>1.3842791820208136</c:v>
                </c:pt>
                <c:pt idx="11">
                  <c:v>1.507257862684575</c:v>
                </c:pt>
                <c:pt idx="12">
                  <c:v>0.58329794099315513</c:v>
                </c:pt>
                <c:pt idx="13">
                  <c:v>6.8568218239422496E-2</c:v>
                </c:pt>
                <c:pt idx="14">
                  <c:v>0.45880014456089624</c:v>
                </c:pt>
                <c:pt idx="15">
                  <c:v>1.0499850642238375</c:v>
                </c:pt>
              </c:numCache>
            </c:numRef>
          </c:val>
          <c:extLst>
            <c:ext xmlns:c16="http://schemas.microsoft.com/office/drawing/2014/chart" uri="{C3380CC4-5D6E-409C-BE32-E72D297353CC}">
              <c16:uniqueId val="{00000000-7497-4F9D-B46E-1BDDF9075667}"/>
            </c:ext>
          </c:extLst>
        </c:ser>
        <c:ser>
          <c:idx val="1"/>
          <c:order val="1"/>
          <c:tx>
            <c:strRef>
              <c:f>Sheet1!$C$1</c:f>
              <c:strCache>
                <c:ptCount val="1"/>
                <c:pt idx="0">
                  <c:v>Crude Divorce Rate</c:v>
                </c:pt>
              </c:strCache>
            </c:strRef>
          </c:tx>
          <c:spPr>
            <a:solidFill>
              <a:srgbClr val="F56B6B"/>
            </a:solidFill>
            <a:ln>
              <a:noFill/>
            </a:ln>
            <a:effectLst/>
          </c:spPr>
          <c:invertIfNegative val="0"/>
          <c:dLbls>
            <c:dLbl>
              <c:idx val="0"/>
              <c:layout>
                <c:manualLayout>
                  <c:x val="-5.1069015963168561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497-4F9D-B46E-1BDDF9075667}"/>
                </c:ext>
              </c:extLst>
            </c:dLbl>
            <c:dLbl>
              <c:idx val="1"/>
              <c:layout>
                <c:manualLayout>
                  <c:x val="-5.0056796179166127E-2"/>
                  <c:y val="-1.189304025141017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497-4F9D-B46E-1BDDF9075667}"/>
                </c:ext>
              </c:extLst>
            </c:dLbl>
            <c:dLbl>
              <c:idx val="2"/>
              <c:layout>
                <c:manualLayout>
                  <c:x val="-5.2330579579191967E-2"/>
                  <c:y val="1.2770054720561543E-7"/>
                </c:manualLayout>
              </c:layout>
              <c:dLblPos val="ctr"/>
              <c:showLegendKey val="0"/>
              <c:showVal val="1"/>
              <c:showCatName val="0"/>
              <c:showSerName val="0"/>
              <c:showPercent val="0"/>
              <c:showBubbleSize val="0"/>
              <c:extLst>
                <c:ext xmlns:c15="http://schemas.microsoft.com/office/drawing/2012/chart" uri="{CE6537A1-D6FC-4f65-9D91-7224C49458BB}">
                  <c15:layout>
                    <c:manualLayout>
                      <c:w val="5.0573770491803276E-2"/>
                      <c:h val="4.3285888323317347E-2"/>
                    </c:manualLayout>
                  </c15:layout>
                </c:ext>
                <c:ext xmlns:c16="http://schemas.microsoft.com/office/drawing/2014/chart" uri="{C3380CC4-5D6E-409C-BE32-E72D297353CC}">
                  <c16:uniqueId val="{00000003-7497-4F9D-B46E-1BDDF9075667}"/>
                </c:ext>
              </c:extLst>
            </c:dLbl>
            <c:dLbl>
              <c:idx val="3"/>
              <c:layout>
                <c:manualLayout>
                  <c:x val="-4.7967988936161596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497-4F9D-B46E-1BDDF9075667}"/>
                </c:ext>
              </c:extLst>
            </c:dLbl>
            <c:dLbl>
              <c:idx val="4"/>
              <c:layout>
                <c:manualLayout>
                  <c:x val="-4.7967988936161596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497-4F9D-B46E-1BDDF9075667}"/>
                </c:ext>
              </c:extLst>
            </c:dLbl>
            <c:dLbl>
              <c:idx val="5"/>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497-4F9D-B46E-1BDDF9075667}"/>
                </c:ext>
              </c:extLst>
            </c:dLbl>
            <c:dLbl>
              <c:idx val="6"/>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7497-4F9D-B46E-1BDDF9075667}"/>
                </c:ext>
              </c:extLst>
            </c:dLbl>
            <c:dLbl>
              <c:idx val="7"/>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7497-4F9D-B46E-1BDDF9075667}"/>
                </c:ext>
              </c:extLst>
            </c:dLbl>
            <c:dLbl>
              <c:idx val="8"/>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7497-4F9D-B46E-1BDDF9075667}"/>
                </c:ext>
              </c:extLst>
            </c:dLbl>
            <c:dLbl>
              <c:idx val="9"/>
              <c:layout>
                <c:manualLayout>
                  <c:x val="-5.0470950914343497E-2"/>
                  <c:y val="4.238872034115327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7497-4F9D-B46E-1BDDF9075667}"/>
                </c:ext>
              </c:extLst>
            </c:dLbl>
            <c:dLbl>
              <c:idx val="10"/>
              <c:layout>
                <c:manualLayout>
                  <c:x val="-4.1102362204724435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7497-4F9D-B46E-1BDDF9075667}"/>
                </c:ext>
              </c:extLst>
            </c:dLbl>
            <c:dLbl>
              <c:idx val="11"/>
              <c:layout>
                <c:manualLayout>
                  <c:x val="-4.204466244998064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7497-4F9D-B46E-1BDDF9075667}"/>
                </c:ext>
              </c:extLst>
            </c:dLbl>
            <c:dLbl>
              <c:idx val="12"/>
              <c:layout>
                <c:manualLayout>
                  <c:x val="-5.1802141304080514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7497-4F9D-B46E-1BDDF9075667}"/>
                </c:ext>
              </c:extLst>
            </c:dLbl>
            <c:dLbl>
              <c:idx val="13"/>
              <c:layout>
                <c:manualLayout>
                  <c:x val="-5.1802141304080514E-2"/>
                  <c:y val="-2.1194360170576635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7497-4F9D-B46E-1BDDF9075667}"/>
                </c:ext>
              </c:extLst>
            </c:dLbl>
            <c:dLbl>
              <c:idx val="14"/>
              <c:layout>
                <c:manualLayout>
                  <c:x val="-5.430510328226245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7497-4F9D-B46E-1BDDF9075667}"/>
                </c:ext>
              </c:extLst>
            </c:dLbl>
            <c:dLbl>
              <c:idx val="15"/>
              <c:layout>
                <c:manualLayout>
                  <c:x val="-4.7439654059635988E-2"/>
                  <c:y val="3.243593902043464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7497-4F9D-B46E-1BDDF9075667}"/>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Sheet1!$C$2:$C$17</c:f>
              <c:numCache>
                <c:formatCode>0.0</c:formatCode>
                <c:ptCount val="16"/>
                <c:pt idx="0">
                  <c:v>2.3863518460877171</c:v>
                </c:pt>
                <c:pt idx="1">
                  <c:v>2.3017523017523018</c:v>
                </c:pt>
                <c:pt idx="2">
                  <c:v>2.4772383618054885</c:v>
                </c:pt>
                <c:pt idx="3">
                  <c:v>1.9132618173662357</c:v>
                </c:pt>
                <c:pt idx="4">
                  <c:v>1.9434065005539176</c:v>
                </c:pt>
                <c:pt idx="5">
                  <c:v>1.9166666666666665</c:v>
                </c:pt>
                <c:pt idx="6">
                  <c:v>2.0976771121549449</c:v>
                </c:pt>
                <c:pt idx="7">
                  <c:v>1.9231394554821089</c:v>
                </c:pt>
                <c:pt idx="8">
                  <c:v>1.959525181079014</c:v>
                </c:pt>
                <c:pt idx="9">
                  <c:v>2.0737198049582455</c:v>
                </c:pt>
                <c:pt idx="10">
                  <c:v>1.1157208179791864</c:v>
                </c:pt>
                <c:pt idx="11">
                  <c:v>0.99274213731542515</c:v>
                </c:pt>
                <c:pt idx="12">
                  <c:v>1.9167020590068449</c:v>
                </c:pt>
                <c:pt idx="13">
                  <c:v>2.4314317817605775</c:v>
                </c:pt>
                <c:pt idx="14">
                  <c:v>2.0411998554391038</c:v>
                </c:pt>
                <c:pt idx="15">
                  <c:v>1.4500149357761625</c:v>
                </c:pt>
              </c:numCache>
            </c:numRef>
          </c:val>
          <c:extLst>
            <c:ext xmlns:c16="http://schemas.microsoft.com/office/drawing/2014/chart" uri="{C3380CC4-5D6E-409C-BE32-E72D297353CC}">
              <c16:uniqueId val="{00000011-7497-4F9D-B46E-1BDDF9075667}"/>
            </c:ext>
          </c:extLst>
        </c:ser>
        <c:ser>
          <c:idx val="2"/>
          <c:order val="2"/>
          <c:tx>
            <c:strRef>
              <c:f>Sheet1!$D$1</c:f>
              <c:strCache>
                <c:ptCount val="1"/>
                <c:pt idx="0">
                  <c:v>   </c:v>
                </c:pt>
              </c:strCache>
            </c:strRef>
          </c:tx>
          <c:spPr>
            <a:noFill/>
            <a:ln>
              <a:noFill/>
            </a:ln>
            <a:effectLst/>
          </c:spPr>
          <c:invertIfNegative val="0"/>
          <c:dLbls>
            <c:dLbl>
              <c:idx val="10"/>
              <c:layout>
                <c:manualLayout>
                  <c:x val="-5.0090496031554069E-17"/>
                  <c:y val="-4.3985045084671617E-3"/>
                </c:manualLayout>
              </c:layout>
              <c:dLblPos val="ctr"/>
              <c:showLegendKey val="0"/>
              <c:showVal val="0"/>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9CA-4263-83BB-22BDF62CA849}"/>
                </c:ext>
              </c:extLst>
            </c:dLbl>
            <c:dLbl>
              <c:idx val="11"/>
              <c:layout>
                <c:manualLayout>
                  <c:x val="0"/>
                  <c:y val="-1.3195513525401364E-2"/>
                </c:manualLayout>
              </c:layout>
              <c:dLblPos val="ctr"/>
              <c:showLegendKey val="0"/>
              <c:showVal val="0"/>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9CA-4263-83BB-22BDF62CA849}"/>
                </c:ext>
              </c:extLst>
            </c:dLbl>
            <c:dLbl>
              <c:idx val="12"/>
              <c:layout>
                <c:manualLayout>
                  <c:x val="2.7323480056795678E-3"/>
                  <c:y val="-1.4022917247505906E-2"/>
                </c:manualLayout>
              </c:layout>
              <c:dLblPos val="ctr"/>
              <c:showLegendKey val="0"/>
              <c:showVal val="0"/>
              <c:showCatName val="1"/>
              <c:showSerName val="0"/>
              <c:showPercent val="0"/>
              <c:showBubbleSize val="0"/>
              <c:extLst>
                <c:ext xmlns:c15="http://schemas.microsoft.com/office/drawing/2012/chart" uri="{CE6537A1-D6FC-4f65-9D91-7224C49458BB}">
                  <c15:layout>
                    <c:manualLayout>
                      <c:w val="0.22045071210360997"/>
                      <c:h val="9.4084011436111739E-2"/>
                    </c:manualLayout>
                  </c15:layout>
                </c:ext>
                <c:ext xmlns:c16="http://schemas.microsoft.com/office/drawing/2014/chart" uri="{C3380CC4-5D6E-409C-BE32-E72D297353CC}">
                  <c16:uniqueId val="{00000012-7497-4F9D-B46E-1BDDF9075667}"/>
                </c:ext>
              </c:extLst>
            </c:dLbl>
            <c:dLbl>
              <c:idx val="13"/>
              <c:layout>
                <c:manualLayout>
                  <c:x val="-5.4644808743169902E-3"/>
                  <c:y val="-2.07515901286476E-2"/>
                </c:manualLayout>
              </c:layout>
              <c:dLblPos val="ctr"/>
              <c:showLegendKey val="0"/>
              <c:showVal val="0"/>
              <c:showCatName val="1"/>
              <c:showSerName val="0"/>
              <c:showPercent val="0"/>
              <c:showBubbleSize val="0"/>
              <c:extLst>
                <c:ext xmlns:c15="http://schemas.microsoft.com/office/drawing/2012/chart" uri="{CE6537A1-D6FC-4f65-9D91-7224C49458BB}">
                  <c15:layout>
                    <c:manualLayout>
                      <c:w val="0.25323759734951162"/>
                      <c:h val="9.4084011436111739E-2"/>
                    </c:manualLayout>
                  </c15:layout>
                </c:ext>
                <c:ext xmlns:c16="http://schemas.microsoft.com/office/drawing/2014/chart" uri="{C3380CC4-5D6E-409C-BE32-E72D297353CC}">
                  <c16:uniqueId val="{00000013-7497-4F9D-B46E-1BDDF9075667}"/>
                </c:ext>
              </c:extLst>
            </c:dLbl>
            <c:dLbl>
              <c:idx val="14"/>
              <c:layout>
                <c:manualLayout>
                  <c:x val="0"/>
                  <c:y val="-1.5939430165371606E-2"/>
                </c:manualLayout>
              </c:layout>
              <c:dLblPos val="ctr"/>
              <c:showLegendKey val="0"/>
              <c:showVal val="0"/>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7497-4F9D-B46E-1BDDF9075667}"/>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Sheet1!$D$2:$D$17</c:f>
              <c:numCache>
                <c:formatCode>0</c:formatCode>
                <c:ptCount val="16"/>
                <c:pt idx="0">
                  <c:v>15</c:v>
                </c:pt>
                <c:pt idx="1">
                  <c:v>15</c:v>
                </c:pt>
                <c:pt idx="2">
                  <c:v>15</c:v>
                </c:pt>
                <c:pt idx="3">
                  <c:v>15</c:v>
                </c:pt>
                <c:pt idx="4">
                  <c:v>15</c:v>
                </c:pt>
                <c:pt idx="5">
                  <c:v>15</c:v>
                </c:pt>
                <c:pt idx="6">
                  <c:v>15</c:v>
                </c:pt>
                <c:pt idx="7">
                  <c:v>15</c:v>
                </c:pt>
                <c:pt idx="8">
                  <c:v>15</c:v>
                </c:pt>
                <c:pt idx="9">
                  <c:v>15</c:v>
                </c:pt>
                <c:pt idx="10">
                  <c:v>15</c:v>
                </c:pt>
                <c:pt idx="11">
                  <c:v>15</c:v>
                </c:pt>
                <c:pt idx="12">
                  <c:v>15</c:v>
                </c:pt>
                <c:pt idx="13">
                  <c:v>15</c:v>
                </c:pt>
                <c:pt idx="14">
                  <c:v>15</c:v>
                </c:pt>
                <c:pt idx="15">
                  <c:v>15</c:v>
                </c:pt>
              </c:numCache>
            </c:numRef>
          </c:val>
          <c:extLst>
            <c:ext xmlns:c16="http://schemas.microsoft.com/office/drawing/2014/chart" uri="{C3380CC4-5D6E-409C-BE32-E72D297353CC}">
              <c16:uniqueId val="{00000015-7497-4F9D-B46E-1BDDF9075667}"/>
            </c:ext>
          </c:extLst>
        </c:ser>
        <c:ser>
          <c:idx val="3"/>
          <c:order val="3"/>
          <c:tx>
            <c:strRef>
              <c:f>Sheet1!$E$1</c:f>
              <c:strCache>
                <c:ptCount val="1"/>
                <c:pt idx="0">
                  <c:v>Crude Marriage Rate</c:v>
                </c:pt>
              </c:strCache>
            </c:strRef>
          </c:tx>
          <c:spPr>
            <a:solidFill>
              <a:srgbClr val="0070C0"/>
            </a:solidFill>
            <a:ln>
              <a:noFill/>
            </a:ln>
            <a:effectLst/>
          </c:spPr>
          <c:invertIfNegative val="0"/>
          <c:dLbls>
            <c:dLbl>
              <c:idx val="0"/>
              <c:layout>
                <c:manualLayout>
                  <c:x val="0.1541463362161696"/>
                  <c:y val="3.4054146092285485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7497-4F9D-B46E-1BDDF9075667}"/>
                </c:ext>
              </c:extLst>
            </c:dLbl>
            <c:dLbl>
              <c:idx val="1"/>
              <c:layout>
                <c:manualLayout>
                  <c:x val="0.14479970741362247"/>
                  <c:y val="-1.189304025141017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7497-4F9D-B46E-1BDDF9075667}"/>
                </c:ext>
              </c:extLst>
            </c:dLbl>
            <c:dLbl>
              <c:idx val="2"/>
              <c:layout>
                <c:manualLayout>
                  <c:x val="0.14129254335011401"/>
                  <c:y val="-1.3806983176731084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7497-4F9D-B46E-1BDDF9075667}"/>
                </c:ext>
              </c:extLst>
            </c:dLbl>
            <c:dLbl>
              <c:idx val="3"/>
              <c:layout>
                <c:manualLayout>
                  <c:x val="0.11839464399119856"/>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7497-4F9D-B46E-1BDDF9075667}"/>
                </c:ext>
              </c:extLst>
            </c:dLbl>
            <c:dLbl>
              <c:idx val="4"/>
              <c:layout>
                <c:manualLayout>
                  <c:x val="0.124313971133913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7497-4F9D-B46E-1BDDF9075667}"/>
                </c:ext>
              </c:extLst>
            </c:dLbl>
            <c:dLbl>
              <c:idx val="5"/>
              <c:layout>
                <c:manualLayout>
                  <c:x val="0.120848285357773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7497-4F9D-B46E-1BDDF9075667}"/>
                </c:ext>
              </c:extLst>
            </c:dLbl>
            <c:dLbl>
              <c:idx val="6"/>
              <c:layout>
                <c:manualLayout>
                  <c:x val="0.1186532421152275"/>
                  <c:y val="3.2435939020434047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7497-4F9D-B46E-1BDDF9075667}"/>
                </c:ext>
              </c:extLst>
            </c:dLbl>
            <c:dLbl>
              <c:idx val="7"/>
              <c:layout>
                <c:manualLayout>
                  <c:x val="0.1209962996428725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7497-4F9D-B46E-1BDDF9075667}"/>
                </c:ext>
              </c:extLst>
            </c:dLbl>
            <c:dLbl>
              <c:idx val="8"/>
              <c:layout>
                <c:manualLayout>
                  <c:x val="0.1186532421152274"/>
                  <c:y val="3.2435939020434047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7497-4F9D-B46E-1BDDF9075667}"/>
                </c:ext>
              </c:extLst>
            </c:dLbl>
            <c:dLbl>
              <c:idx val="9"/>
              <c:layout>
                <c:manualLayout>
                  <c:x val="0.11552751602770965"/>
                  <c:y val="-5.9465201257050885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7497-4F9D-B46E-1BDDF9075667}"/>
                </c:ext>
              </c:extLst>
            </c:dLbl>
            <c:dLbl>
              <c:idx val="10"/>
              <c:layout>
                <c:manualLayout>
                  <c:x val="0.1126315563013638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7497-4F9D-B46E-1BDDF9075667}"/>
                </c:ext>
              </c:extLst>
            </c:dLbl>
            <c:dLbl>
              <c:idx val="11"/>
              <c:layout>
                <c:manualLayout>
                  <c:x val="0.11084548857622305"/>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7497-4F9D-B46E-1BDDF9075667}"/>
                </c:ext>
              </c:extLst>
            </c:dLbl>
            <c:dLbl>
              <c:idx val="12"/>
              <c:layout>
                <c:manualLayout>
                  <c:x val="0.11042747730304203"/>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7497-4F9D-B46E-1BDDF9075667}"/>
                </c:ext>
              </c:extLst>
            </c:dLbl>
            <c:dLbl>
              <c:idx val="13"/>
              <c:layout>
                <c:manualLayout>
                  <c:x val="0.10526633965836238"/>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7497-4F9D-B46E-1BDDF9075667}"/>
                </c:ext>
              </c:extLst>
            </c:dLbl>
            <c:dLbl>
              <c:idx val="14"/>
              <c:layout>
                <c:manualLayout>
                  <c:x val="8.7198055161137544E-2"/>
                  <c:y val="-1.4866300314262721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7497-4F9D-B46E-1BDDF9075667}"/>
                </c:ext>
              </c:extLst>
            </c:dLbl>
            <c:dLbl>
              <c:idx val="15"/>
              <c:layout>
                <c:manualLayout>
                  <c:x val="7.7600361430230955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5-7497-4F9D-B46E-1BDDF9075667}"/>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Sheet1!$E$2:$E$17</c:f>
              <c:numCache>
                <c:formatCode>0.0</c:formatCode>
                <c:ptCount val="16"/>
                <c:pt idx="0">
                  <c:v>11.057257622244949</c:v>
                </c:pt>
                <c:pt idx="1">
                  <c:v>10.484110484110484</c:v>
                </c:pt>
                <c:pt idx="2">
                  <c:v>10.2306727149889</c:v>
                </c:pt>
                <c:pt idx="3">
                  <c:v>9.2367193098581541</c:v>
                </c:pt>
                <c:pt idx="4">
                  <c:v>8.8227838593987649</c:v>
                </c:pt>
                <c:pt idx="5">
                  <c:v>8.7857142857142847</c:v>
                </c:pt>
                <c:pt idx="6">
                  <c:v>8.776783990734188</c:v>
                </c:pt>
                <c:pt idx="7">
                  <c:v>8.640191756513822</c:v>
                </c:pt>
                <c:pt idx="8">
                  <c:v>8.6242716704598035</c:v>
                </c:pt>
                <c:pt idx="9">
                  <c:v>8.2425691706988999</c:v>
                </c:pt>
                <c:pt idx="10">
                  <c:v>8.1241928165031929</c:v>
                </c:pt>
                <c:pt idx="11">
                  <c:v>7.8209727204471502</c:v>
                </c:pt>
                <c:pt idx="12">
                  <c:v>7.708175906365657</c:v>
                </c:pt>
                <c:pt idx="13">
                  <c:v>7.2390355320599014</c:v>
                </c:pt>
                <c:pt idx="14">
                  <c:v>5.2417780990242138</c:v>
                </c:pt>
                <c:pt idx="15">
                  <c:v>4.6943974244083773</c:v>
                </c:pt>
              </c:numCache>
            </c:numRef>
          </c:val>
          <c:extLst>
            <c:ext xmlns:c16="http://schemas.microsoft.com/office/drawing/2014/chart" uri="{C3380CC4-5D6E-409C-BE32-E72D297353CC}">
              <c16:uniqueId val="{00000026-7497-4F9D-B46E-1BDDF9075667}"/>
            </c:ext>
          </c:extLst>
        </c:ser>
        <c:ser>
          <c:idx val="4"/>
          <c:order val="4"/>
          <c:tx>
            <c:strRef>
              <c:f>Sheet1!$F$1</c:f>
              <c:strCache>
                <c:ptCount val="1"/>
                <c:pt idx="0">
                  <c:v>     </c:v>
                </c:pt>
              </c:strCache>
            </c:strRef>
          </c:tx>
          <c:spPr>
            <a:noFill/>
            <a:ln>
              <a:noFill/>
            </a:ln>
            <a:effectLst/>
          </c:spPr>
          <c:invertIfNegative val="0"/>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Sheet1!$F$2:$F$17</c:f>
              <c:numCache>
                <c:formatCode>0</c:formatCode>
                <c:ptCount val="16"/>
                <c:pt idx="0">
                  <c:v>-5.7</c:v>
                </c:pt>
                <c:pt idx="1">
                  <c:v>-5.6</c:v>
                </c:pt>
                <c:pt idx="2">
                  <c:v>-4</c:v>
                </c:pt>
                <c:pt idx="3">
                  <c:v>-3.4000000000000004</c:v>
                </c:pt>
                <c:pt idx="4">
                  <c:v>-2.8000000000000007</c:v>
                </c:pt>
                <c:pt idx="5">
                  <c:v>-2.1999999999999993</c:v>
                </c:pt>
                <c:pt idx="6">
                  <c:v>-1.9000000000000004</c:v>
                </c:pt>
                <c:pt idx="7">
                  <c:v>-1.8000000000000007</c:v>
                </c:pt>
                <c:pt idx="8">
                  <c:v>-1.5999999999999996</c:v>
                </c:pt>
                <c:pt idx="9">
                  <c:v>-1.4000000000000004</c:v>
                </c:pt>
                <c:pt idx="10">
                  <c:v>-1.4000000000000004</c:v>
                </c:pt>
                <c:pt idx="11">
                  <c:v>-1.1999999999999993</c:v>
                </c:pt>
                <c:pt idx="12">
                  <c:v>-0.80000000000000071</c:v>
                </c:pt>
                <c:pt idx="13">
                  <c:v>-0.80000000000000071</c:v>
                </c:pt>
                <c:pt idx="14">
                  <c:v>-0.30000000000000071</c:v>
                </c:pt>
                <c:pt idx="15">
                  <c:v>-9.9999999999999645E-2</c:v>
                </c:pt>
              </c:numCache>
            </c:numRef>
          </c:val>
          <c:extLst>
            <c:ext xmlns:c16="http://schemas.microsoft.com/office/drawing/2014/chart" uri="{C3380CC4-5D6E-409C-BE32-E72D297353CC}">
              <c16:uniqueId val="{00000027-7497-4F9D-B46E-1BDDF9075667}"/>
            </c:ext>
          </c:extLst>
        </c:ser>
        <c:dLbls>
          <c:showLegendKey val="0"/>
          <c:showVal val="0"/>
          <c:showCatName val="0"/>
          <c:showSerName val="0"/>
          <c:showPercent val="0"/>
          <c:showBubbleSize val="0"/>
        </c:dLbls>
        <c:gapWidth val="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Governorate</a:t>
                </a:r>
                <a:endParaRPr lang="ar-SA" b="1"/>
              </a:p>
            </c:rich>
          </c:tx>
          <c:layout>
            <c:manualLayout>
              <c:xMode val="edge"/>
              <c:yMode val="edge"/>
              <c:x val="0.37779699668688954"/>
              <c:y val="1.4634153994349034E-3"/>
            </c:manualLayout>
          </c:layout>
          <c:overlay val="0"/>
          <c:spPr>
            <a:noFill/>
            <a:ln>
              <a:noFill/>
            </a:ln>
            <a:effectLst/>
          </c:spPr>
          <c:txPr>
            <a:bodyPr rot="0" spcFirstLastPara="1" vertOverflow="ellipsis"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General"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1.1641443538998836E-2"/>
          <c:y val="0.91475833406356799"/>
          <c:w val="0.97868790848175413"/>
          <c:h val="7.342738755429816E-2"/>
        </c:manualLayout>
      </c:layout>
      <c:overlay val="0"/>
      <c:spPr>
        <a:noFill/>
        <a:ln w="0">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0" cap="flat" cmpd="sng" algn="ctr">
      <a:solidFill>
        <a:schemeClr val="tx1"/>
      </a:solid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749571289179632"/>
          <c:y val="0.13275569732426548"/>
          <c:w val="0.86172895535032279"/>
          <c:h val="0.68262154730661861"/>
        </c:manualLayout>
      </c:layout>
      <c:lineChart>
        <c:grouping val="standard"/>
        <c:varyColors val="0"/>
        <c:ser>
          <c:idx val="0"/>
          <c:order val="0"/>
          <c:tx>
            <c:strRef>
              <c:f>Sheet1!$A$2</c:f>
              <c:strCache>
                <c:ptCount val="1"/>
                <c:pt idx="0">
                  <c:v> Full Employment</c:v>
                </c:pt>
              </c:strCache>
            </c:strRef>
          </c:tx>
          <c:spPr>
            <a:ln w="10615">
              <a:solidFill>
                <a:srgbClr val="000080"/>
              </a:solidFill>
              <a:prstDash val="solid"/>
            </a:ln>
          </c:spPr>
          <c:marker>
            <c:symbol val="diamond"/>
            <c:size val="2"/>
            <c:spPr>
              <a:solidFill>
                <a:srgbClr val="000080"/>
              </a:solidFill>
              <a:ln>
                <a:solidFill>
                  <a:srgbClr val="000080"/>
                </a:solidFill>
                <a:prstDash val="solid"/>
              </a:ln>
            </c:spPr>
          </c:marker>
          <c:dLbls>
            <c:dLbl>
              <c:idx val="0"/>
              <c:layout>
                <c:manualLayout>
                  <c:x val="-3.7191984629517769E-2"/>
                  <c:y val="-5.902886588952153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2F8-44C7-97C6-1F8A34CE1821}"/>
                </c:ext>
              </c:extLst>
            </c:dLbl>
            <c:dLbl>
              <c:idx val="1"/>
              <c:layout>
                <c:manualLayout>
                  <c:x val="-6.5556303938095833E-2"/>
                  <c:y val="-4.32147830544431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2F8-44C7-97C6-1F8A34CE1821}"/>
                </c:ext>
              </c:extLst>
            </c:dLbl>
            <c:dLbl>
              <c:idx val="2"/>
              <c:layout>
                <c:manualLayout>
                  <c:x val="-4.2440384451252783E-2"/>
                  <c:y val="-4.264074429956269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2F8-44C7-97C6-1F8A34CE1821}"/>
                </c:ext>
              </c:extLst>
            </c:dLbl>
            <c:dLbl>
              <c:idx val="3"/>
              <c:layout>
                <c:manualLayout>
                  <c:x val="-3.2368173258003806E-2"/>
                  <c:y val="-5.260941308055038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2F8-44C7-97C6-1F8A34CE1821}"/>
                </c:ext>
              </c:extLst>
            </c:dLbl>
            <c:dLbl>
              <c:idx val="4"/>
              <c:layout>
                <c:manualLayout>
                  <c:x val="-3.5493827492259766E-2"/>
                  <c:y val="-3.162816567015809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2F8-44C7-97C6-1F8A34CE1821}"/>
                </c:ext>
              </c:extLst>
            </c:dLbl>
            <c:spPr>
              <a:noFill/>
              <a:ln w="2124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Sheet1!$B$2:$F$2</c:f>
              <c:numCache>
                <c:formatCode>General</c:formatCode>
                <c:ptCount val="5"/>
                <c:pt idx="0">
                  <c:v>56.2</c:v>
                </c:pt>
                <c:pt idx="1">
                  <c:v>64</c:v>
                </c:pt>
                <c:pt idx="2">
                  <c:v>73.3</c:v>
                </c:pt>
                <c:pt idx="3">
                  <c:v>77.3</c:v>
                </c:pt>
                <c:pt idx="4">
                  <c:v>78.5</c:v>
                </c:pt>
              </c:numCache>
            </c:numRef>
          </c:val>
          <c:smooth val="1"/>
          <c:extLst>
            <c:ext xmlns:c16="http://schemas.microsoft.com/office/drawing/2014/chart" uri="{C3380CC4-5D6E-409C-BE32-E72D297353CC}">
              <c16:uniqueId val="{00000005-12F8-44C7-97C6-1F8A34CE1821}"/>
            </c:ext>
          </c:extLst>
        </c:ser>
        <c:ser>
          <c:idx val="1"/>
          <c:order val="1"/>
          <c:tx>
            <c:strRef>
              <c:f>Sheet1!$A$3</c:f>
              <c:strCache>
                <c:ptCount val="1"/>
                <c:pt idx="0">
                  <c:v> Time Related Underemployment</c:v>
                </c:pt>
              </c:strCache>
            </c:strRef>
          </c:tx>
          <c:spPr>
            <a:ln w="10615">
              <a:solidFill>
                <a:srgbClr val="FF00FF"/>
              </a:solidFill>
              <a:prstDash val="solid"/>
            </a:ln>
          </c:spPr>
          <c:marker>
            <c:symbol val="square"/>
            <c:size val="2"/>
            <c:spPr>
              <a:solidFill>
                <a:srgbClr val="FF00FF"/>
              </a:solidFill>
              <a:ln>
                <a:solidFill>
                  <a:srgbClr val="FF00FF"/>
                </a:solidFill>
                <a:prstDash val="solid"/>
              </a:ln>
            </c:spPr>
          </c:marker>
          <c:dLbls>
            <c:dLbl>
              <c:idx val="0"/>
              <c:layout>
                <c:manualLayout>
                  <c:x val="-2.8788912338845448E-2"/>
                  <c:y val="-5.845482713464251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12F8-44C7-97C6-1F8A34CE1821}"/>
                </c:ext>
              </c:extLst>
            </c:dLbl>
            <c:dLbl>
              <c:idx val="1"/>
              <c:layout>
                <c:manualLayout>
                  <c:x val="-3.4037097176768651E-2"/>
                  <c:y val="-4.676402773483048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12F8-44C7-97C6-1F8A34CE1821}"/>
                </c:ext>
              </c:extLst>
            </c:dLbl>
            <c:dLbl>
              <c:idx val="2"/>
              <c:layout>
                <c:manualLayout>
                  <c:x val="-3.4037097176768651E-2"/>
                  <c:y val="-2.922741356732128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12F8-44C7-97C6-1F8A34CE1821}"/>
                </c:ext>
              </c:extLst>
            </c:dLbl>
            <c:dLbl>
              <c:idx val="3"/>
              <c:layout>
                <c:manualLayout>
                  <c:x val="-6.6164736233909435E-2"/>
                  <c:y val="-3.507267329288768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12F8-44C7-97C6-1F8A34CE1821}"/>
                </c:ext>
              </c:extLst>
            </c:dLbl>
            <c:dLbl>
              <c:idx val="4"/>
              <c:layout>
                <c:manualLayout>
                  <c:x val="8.5996076419001882E-7"/>
                  <c:y val="-3.162824319091261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12F8-44C7-97C6-1F8A34CE1821}"/>
                </c:ext>
              </c:extLst>
            </c:dLbl>
            <c:spPr>
              <a:noFill/>
              <a:ln w="2124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Sheet1!$B$3:$F$3</c:f>
              <c:numCache>
                <c:formatCode>General</c:formatCode>
                <c:ptCount val="5"/>
                <c:pt idx="0">
                  <c:v>0.8</c:v>
                </c:pt>
                <c:pt idx="1">
                  <c:v>1.3</c:v>
                </c:pt>
                <c:pt idx="2">
                  <c:v>0.9</c:v>
                </c:pt>
                <c:pt idx="3">
                  <c:v>0.5</c:v>
                </c:pt>
                <c:pt idx="4">
                  <c:v>0.6</c:v>
                </c:pt>
              </c:numCache>
            </c:numRef>
          </c:val>
          <c:smooth val="1"/>
          <c:extLst>
            <c:ext xmlns:c16="http://schemas.microsoft.com/office/drawing/2014/chart" uri="{C3380CC4-5D6E-409C-BE32-E72D297353CC}">
              <c16:uniqueId val="{0000000B-12F8-44C7-97C6-1F8A34CE1821}"/>
            </c:ext>
          </c:extLst>
        </c:ser>
        <c:ser>
          <c:idx val="2"/>
          <c:order val="2"/>
          <c:tx>
            <c:strRef>
              <c:f>Sheet1!$A$4</c:f>
              <c:strCache>
                <c:ptCount val="1"/>
                <c:pt idx="0">
                  <c:v>    Revised Unemployment Rate</c:v>
                </c:pt>
              </c:strCache>
            </c:strRef>
          </c:tx>
          <c:spPr>
            <a:ln w="10615">
              <a:solidFill>
                <a:srgbClr val="003366"/>
              </a:solidFill>
              <a:prstDash val="solid"/>
            </a:ln>
          </c:spPr>
          <c:marker>
            <c:symbol val="square"/>
            <c:size val="2"/>
            <c:spPr>
              <a:solidFill>
                <a:srgbClr val="FFFF00"/>
              </a:solidFill>
              <a:ln>
                <a:solidFill>
                  <a:srgbClr val="0000FF"/>
                </a:solidFill>
                <a:prstDash val="solid"/>
              </a:ln>
            </c:spPr>
          </c:marker>
          <c:dLbls>
            <c:dLbl>
              <c:idx val="0"/>
              <c:layout>
                <c:manualLayout>
                  <c:x val="-3.2763533069777612E-2"/>
                  <c:y val="5.271360945026458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12F8-44C7-97C6-1F8A34CE1821}"/>
                </c:ext>
              </c:extLst>
            </c:dLbl>
            <c:dLbl>
              <c:idx val="1"/>
              <c:layout>
                <c:manualLayout>
                  <c:x val="-1.3651472112407531E-2"/>
                  <c:y val="-4.744224850523711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12F8-44C7-97C6-1F8A34CE1821}"/>
                </c:ext>
              </c:extLst>
            </c:dLbl>
            <c:dLbl>
              <c:idx val="2"/>
              <c:layout>
                <c:manualLayout>
                  <c:x val="-3.1094613731059442E-2"/>
                  <c:y val="-4.676402773483059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12F8-44C7-97C6-1F8A34CE1821}"/>
                </c:ext>
              </c:extLst>
            </c:dLbl>
            <c:dLbl>
              <c:idx val="3"/>
              <c:layout>
                <c:manualLayout>
                  <c:x val="-3.4037097176768651E-2"/>
                  <c:y val="-5.260942743473679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12F8-44C7-97C6-1F8A34CE1821}"/>
                </c:ext>
              </c:extLst>
            </c:dLbl>
            <c:dLbl>
              <c:idx val="4"/>
              <c:layout>
                <c:manualLayout>
                  <c:x val="-2.457264980233325E-2"/>
                  <c:y val="-5.271360945026458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12F8-44C7-97C6-1F8A34CE1821}"/>
                </c:ext>
              </c:extLst>
            </c:dLbl>
            <c:spPr>
              <a:noFill/>
              <a:ln w="2124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Sheet1!$B$4:$F$4</c:f>
              <c:numCache>
                <c:formatCode>General</c:formatCode>
                <c:ptCount val="5"/>
                <c:pt idx="0">
                  <c:v>43</c:v>
                </c:pt>
                <c:pt idx="1">
                  <c:v>34.700000000000003</c:v>
                </c:pt>
                <c:pt idx="2">
                  <c:v>25.8</c:v>
                </c:pt>
                <c:pt idx="3">
                  <c:v>22.2</c:v>
                </c:pt>
                <c:pt idx="4">
                  <c:v>20.9</c:v>
                </c:pt>
              </c:numCache>
            </c:numRef>
          </c:val>
          <c:smooth val="1"/>
          <c:extLst>
            <c:ext xmlns:c16="http://schemas.microsoft.com/office/drawing/2014/chart" uri="{C3380CC4-5D6E-409C-BE32-E72D297353CC}">
              <c16:uniqueId val="{00000011-12F8-44C7-97C6-1F8A34CE1821}"/>
            </c:ext>
          </c:extLst>
        </c:ser>
        <c:dLbls>
          <c:showLegendKey val="0"/>
          <c:showVal val="1"/>
          <c:showCatName val="0"/>
          <c:showSerName val="0"/>
          <c:showPercent val="0"/>
          <c:showBubbleSize val="0"/>
        </c:dLbls>
        <c:marker val="1"/>
        <c:smooth val="0"/>
        <c:axId val="182637024"/>
        <c:axId val="1"/>
      </c:lineChart>
      <c:catAx>
        <c:axId val="182637024"/>
        <c:scaling>
          <c:orientation val="minMax"/>
        </c:scaling>
        <c:delete val="0"/>
        <c:axPos val="b"/>
        <c:title>
          <c:tx>
            <c:rich>
              <a:bodyPr/>
              <a:lstStyle/>
              <a:p>
                <a:pPr>
                  <a:defRPr b="1"/>
                </a:pPr>
                <a:r>
                  <a:rPr lang="en-US" b="1"/>
                  <a:t>Age Groups</a:t>
                </a:r>
              </a:p>
            </c:rich>
          </c:tx>
          <c:layout>
            <c:manualLayout>
              <c:xMode val="edge"/>
              <c:yMode val="edge"/>
              <c:x val="0.39056546844375012"/>
              <c:y val="0.91230125577029131"/>
            </c:manualLayout>
          </c:layout>
          <c:overlay val="0"/>
          <c:spPr>
            <a:noFill/>
            <a:ln w="21228">
              <a:noFill/>
            </a:ln>
          </c:spPr>
        </c:title>
        <c:numFmt formatCode="General" sourceLinked="1"/>
        <c:majorTickMark val="out"/>
        <c:minorTickMark val="none"/>
        <c:tickLblPos val="nextTo"/>
        <c:spPr>
          <a:ln w="2654">
            <a:solidFill>
              <a:srgbClr val="000000"/>
            </a:solidFill>
            <a:prstDash val="solid"/>
          </a:ln>
        </c:spPr>
        <c:txPr>
          <a:bodyPr rot="0" vert="horz"/>
          <a:lstStyle/>
          <a:p>
            <a:pPr rtl="1">
              <a:defRPr/>
            </a:pPr>
            <a:endParaRPr lang="en-US"/>
          </a:p>
        </c:txPr>
        <c:crossAx val="1"/>
        <c:crosses val="autoZero"/>
        <c:auto val="1"/>
        <c:lblAlgn val="ctr"/>
        <c:lblOffset val="100"/>
        <c:tickLblSkip val="1"/>
        <c:tickMarkSkip val="1"/>
        <c:noMultiLvlLbl val="0"/>
      </c:catAx>
      <c:valAx>
        <c:axId val="1"/>
        <c:scaling>
          <c:orientation val="minMax"/>
          <c:max val="100"/>
          <c:min val="0"/>
        </c:scaling>
        <c:delete val="0"/>
        <c:axPos val="l"/>
        <c:title>
          <c:tx>
            <c:rich>
              <a:bodyPr/>
              <a:lstStyle/>
              <a:p>
                <a:pPr>
                  <a:defRPr b="1"/>
                </a:pPr>
                <a:r>
                  <a:rPr lang="en-US" b="1"/>
                  <a:t>Percent</a:t>
                </a:r>
              </a:p>
            </c:rich>
          </c:tx>
          <c:layout>
            <c:manualLayout>
              <c:xMode val="edge"/>
              <c:yMode val="edge"/>
              <c:x val="1.6907388996014544E-2"/>
              <c:y val="0.32762666976505717"/>
            </c:manualLayout>
          </c:layout>
          <c:overlay val="0"/>
          <c:spPr>
            <a:noFill/>
            <a:ln w="21228">
              <a:noFill/>
            </a:ln>
          </c:spPr>
        </c:title>
        <c:numFmt formatCode="0" sourceLinked="0"/>
        <c:majorTickMark val="out"/>
        <c:minorTickMark val="none"/>
        <c:tickLblPos val="nextTo"/>
        <c:spPr>
          <a:ln w="2654">
            <a:solidFill>
              <a:srgbClr val="000000"/>
            </a:solidFill>
            <a:prstDash val="solid"/>
          </a:ln>
        </c:spPr>
        <c:txPr>
          <a:bodyPr rot="0" vert="horz"/>
          <a:lstStyle/>
          <a:p>
            <a:pPr>
              <a:defRPr/>
            </a:pPr>
            <a:endParaRPr lang="en-US"/>
          </a:p>
        </c:txPr>
        <c:crossAx val="182637024"/>
        <c:crosses val="autoZero"/>
        <c:crossBetween val="between"/>
        <c:majorUnit val="20"/>
        <c:minorUnit val="2"/>
      </c:valAx>
      <c:spPr>
        <a:noFill/>
        <a:ln w="23157">
          <a:noFill/>
        </a:ln>
      </c:spPr>
    </c:plotArea>
    <c:legend>
      <c:legendPos val="t"/>
      <c:layout>
        <c:manualLayout>
          <c:xMode val="edge"/>
          <c:yMode val="edge"/>
          <c:x val="2.597412043029617E-2"/>
          <c:y val="1.1194318879710523E-2"/>
          <c:w val="0.93822531592395131"/>
          <c:h val="0.1104318012898895"/>
        </c:manualLayout>
      </c:layout>
      <c:overlay val="0"/>
      <c:spPr>
        <a:noFill/>
        <a:ln w="2654">
          <a:noFill/>
          <a:prstDash val="solid"/>
        </a:ln>
      </c:spPr>
    </c:legend>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177003559486572"/>
          <c:y val="6.8849351617699242E-2"/>
          <c:w val="0.83699126307841654"/>
          <c:h val="0.57438109967826245"/>
        </c:manualLayout>
      </c:layout>
      <c:lineChart>
        <c:grouping val="stacked"/>
        <c:varyColors val="0"/>
        <c:ser>
          <c:idx val="0"/>
          <c:order val="0"/>
          <c:tx>
            <c:strRef>
              <c:f>ورقة1!$A$2</c:f>
              <c:strCache>
                <c:ptCount val="1"/>
                <c:pt idx="0">
                  <c:v>فئة 1</c:v>
                </c:pt>
              </c:strCache>
            </c:strRef>
          </c:tx>
          <c:marker>
            <c:symbol val="circle"/>
            <c:size val="6"/>
          </c:marker>
          <c:dLbls>
            <c:dLbl>
              <c:idx val="0"/>
              <c:layout>
                <c:manualLayout>
                  <c:x val="-4.65753424657534E-2"/>
                  <c:y val="-4.797032240658302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2F9-4354-8612-B2218F4DAF6F}"/>
                </c:ext>
              </c:extLst>
            </c:dLbl>
            <c:dLbl>
              <c:idx val="1"/>
              <c:layout>
                <c:manualLayout>
                  <c:x val="-5.2054794520547946E-2"/>
                  <c:y val="-6.167907044518681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2F9-4354-8612-B2218F4DAF6F}"/>
                </c:ext>
              </c:extLst>
            </c:dLbl>
            <c:dLbl>
              <c:idx val="2"/>
              <c:layout>
                <c:manualLayout>
                  <c:x val="-6.3013698630137033E-2"/>
                  <c:y val="-6.1676372016212164E-2"/>
                </c:manualLayout>
              </c:layout>
              <c:tx>
                <c:rich>
                  <a:bodyPr/>
                  <a:lstStyle/>
                  <a:p>
                    <a:r>
                      <a:rPr lang="en-US"/>
                      <a:t>1,020</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2F9-4354-8612-B2218F4DAF6F}"/>
                </c:ext>
              </c:extLst>
            </c:dLbl>
            <c:dLbl>
              <c:idx val="3"/>
              <c:layout>
                <c:manualLayout>
                  <c:x val="-4.383561643835622E-2"/>
                  <c:y val="-4.7969782813975487E-2"/>
                </c:manualLayout>
              </c:layout>
              <c:tx>
                <c:rich>
                  <a:bodyPr/>
                  <a:lstStyle/>
                  <a:p>
                    <a:r>
                      <a:rPr lang="en-US"/>
                      <a:t>1,765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2F9-4354-8612-B2218F4DAF6F}"/>
                </c:ext>
              </c:extLst>
            </c:dLbl>
            <c:dLbl>
              <c:idx val="4"/>
              <c:layout>
                <c:manualLayout>
                  <c:x val="-3.561643835616439E-2"/>
                  <c:y val="5.482260893025773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C2F9-4354-8612-B2218F4DAF6F}"/>
                </c:ext>
              </c:extLst>
            </c:dLbl>
            <c:dLbl>
              <c:idx val="5"/>
              <c:layout>
                <c:manualLayout>
                  <c:x val="-6.575342465753424E-2"/>
                  <c:y val="-6.1676372016212191E-2"/>
                </c:manualLayout>
              </c:layout>
              <c:tx>
                <c:rich>
                  <a:bodyPr/>
                  <a:lstStyle/>
                  <a:p>
                    <a:r>
                      <a:rPr lang="en-US"/>
                      <a:t>1,715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C2F9-4354-8612-B2218F4DAF6F}"/>
                </c:ext>
              </c:extLst>
            </c:dLbl>
            <c:dLbl>
              <c:idx val="6"/>
              <c:layout>
                <c:manualLayout>
                  <c:x val="-4.3835616438356179E-2"/>
                  <c:y val="-4.7970322406583048E-2"/>
                </c:manualLayout>
              </c:layout>
              <c:tx>
                <c:rich>
                  <a:bodyPr/>
                  <a:lstStyle/>
                  <a:p>
                    <a:r>
                      <a:rPr lang="en-US"/>
                      <a:t>2,670</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C2F9-4354-8612-B2218F4DAF6F}"/>
                </c:ext>
              </c:extLst>
            </c:dLbl>
            <c:dLbl>
              <c:idx val="7"/>
              <c:layout>
                <c:manualLayout>
                  <c:x val="-1.643835616438356E-2"/>
                  <c:y val="-2.7411304465128808E-2"/>
                </c:manualLayout>
              </c:layout>
              <c:tx>
                <c:rich>
                  <a:bodyPr/>
                  <a:lstStyle/>
                  <a:p>
                    <a:r>
                      <a:rPr lang="en-US"/>
                      <a:t>2,191</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C2F9-4354-8612-B2218F4DAF6F}"/>
                </c:ext>
              </c:extLst>
            </c:dLbl>
            <c:dLbl>
              <c:idx val="8"/>
              <c:layout>
                <c:manualLayout>
                  <c:x val="-3.2876712328767134E-2"/>
                  <c:y val="4.796978281397551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C2F9-4354-8612-B2218F4DAF6F}"/>
                </c:ext>
              </c:extLst>
            </c:dLbl>
            <c:dLbl>
              <c:idx val="9"/>
              <c:layout>
                <c:manualLayout>
                  <c:x val="-2.4657534246575342E-2"/>
                  <c:y val="6.1675435046539863E-2"/>
                </c:manualLayout>
              </c:layout>
              <c:tx>
                <c:rich>
                  <a:bodyPr/>
                  <a:lstStyle/>
                  <a:p>
                    <a:r>
                      <a:rPr lang="en-US"/>
                      <a:t>1,255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C2F9-4354-8612-B2218F4DAF6F}"/>
                </c:ext>
              </c:extLst>
            </c:dLbl>
            <c:dLbl>
              <c:idx val="10"/>
              <c:layout>
                <c:manualLayout>
                  <c:x val="-3.2876712328767134E-2"/>
                  <c:y val="-4.7969782813975445E-2"/>
                </c:manualLayout>
              </c:layout>
              <c:tx>
                <c:rich>
                  <a:bodyPr/>
                  <a:lstStyle/>
                  <a:p>
                    <a:r>
                      <a:rPr lang="en-US"/>
                      <a:t>2,971</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C2F9-4354-8612-B2218F4DAF6F}"/>
                </c:ext>
              </c:extLst>
            </c:dLbl>
            <c:dLbl>
              <c:idx val="11"/>
              <c:layout/>
              <c:tx>
                <c:rich>
                  <a:bodyPr/>
                  <a:lstStyle/>
                  <a:p>
                    <a:r>
                      <a:rPr lang="en-US"/>
                      <a:t>2,407</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C2F9-4354-8612-B2218F4DAF6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ورقة1!$B$1:$M$1</c:f>
              <c:strCache>
                <c:ptCount val="12"/>
                <c:pt idx="0">
                  <c:v> January</c:v>
                </c:pt>
                <c:pt idx="1">
                  <c:v>  February</c:v>
                </c:pt>
                <c:pt idx="2">
                  <c:v>March</c:v>
                </c:pt>
                <c:pt idx="3">
                  <c:v> April</c:v>
                </c:pt>
                <c:pt idx="4">
                  <c:v> May</c:v>
                </c:pt>
                <c:pt idx="5">
                  <c:v>June</c:v>
                </c:pt>
                <c:pt idx="6">
                  <c:v> July</c:v>
                </c:pt>
                <c:pt idx="7">
                  <c:v> August</c:v>
                </c:pt>
                <c:pt idx="8">
                  <c:v>September</c:v>
                </c:pt>
                <c:pt idx="9">
                  <c:v> October</c:v>
                </c:pt>
                <c:pt idx="10">
                  <c:v> November</c:v>
                </c:pt>
                <c:pt idx="11">
                  <c:v>December</c:v>
                </c:pt>
              </c:strCache>
            </c:strRef>
          </c:cat>
          <c:val>
            <c:numRef>
              <c:f>ورقة1!$B$2:$M$2</c:f>
              <c:numCache>
                <c:formatCode>General</c:formatCode>
                <c:ptCount val="12"/>
                <c:pt idx="0">
                  <c:v>140</c:v>
                </c:pt>
                <c:pt idx="1">
                  <c:v>770</c:v>
                </c:pt>
                <c:pt idx="2">
                  <c:v>1020</c:v>
                </c:pt>
                <c:pt idx="3">
                  <c:v>1765</c:v>
                </c:pt>
                <c:pt idx="4">
                  <c:v>920</c:v>
                </c:pt>
                <c:pt idx="5">
                  <c:v>1715</c:v>
                </c:pt>
                <c:pt idx="6">
                  <c:v>2670</c:v>
                </c:pt>
                <c:pt idx="7">
                  <c:v>2191</c:v>
                </c:pt>
                <c:pt idx="8">
                  <c:v>842</c:v>
                </c:pt>
                <c:pt idx="9">
                  <c:v>1255</c:v>
                </c:pt>
                <c:pt idx="10">
                  <c:v>2971</c:v>
                </c:pt>
                <c:pt idx="11">
                  <c:v>2407</c:v>
                </c:pt>
              </c:numCache>
            </c:numRef>
          </c:val>
          <c:smooth val="1"/>
          <c:extLst>
            <c:ext xmlns:c16="http://schemas.microsoft.com/office/drawing/2014/chart" uri="{C3380CC4-5D6E-409C-BE32-E72D297353CC}">
              <c16:uniqueId val="{0000000C-C2F9-4354-8612-B2218F4DAF6F}"/>
            </c:ext>
          </c:extLst>
        </c:ser>
        <c:dLbls>
          <c:showLegendKey val="0"/>
          <c:showVal val="0"/>
          <c:showCatName val="0"/>
          <c:showSerName val="0"/>
          <c:showPercent val="0"/>
          <c:showBubbleSize val="0"/>
        </c:dLbls>
        <c:marker val="1"/>
        <c:smooth val="0"/>
        <c:axId val="159565696"/>
        <c:axId val="159572736"/>
      </c:lineChart>
      <c:catAx>
        <c:axId val="159565696"/>
        <c:scaling>
          <c:orientation val="minMax"/>
        </c:scaling>
        <c:delete val="0"/>
        <c:axPos val="b"/>
        <c:title>
          <c:tx>
            <c:rich>
              <a:bodyPr/>
              <a:lstStyle/>
              <a:p>
                <a:pPr>
                  <a:defRPr b="1"/>
                </a:pPr>
                <a:r>
                  <a:rPr lang="en-US" b="1"/>
                  <a:t>Month</a:t>
                </a:r>
              </a:p>
            </c:rich>
          </c:tx>
          <c:layout>
            <c:manualLayout>
              <c:xMode val="edge"/>
              <c:yMode val="edge"/>
              <c:x val="0.46225485327847532"/>
              <c:y val="0.89564907257406423"/>
            </c:manualLayout>
          </c:layout>
          <c:overlay val="0"/>
        </c:title>
        <c:numFmt formatCode="General" sourceLinked="0"/>
        <c:majorTickMark val="out"/>
        <c:minorTickMark val="none"/>
        <c:tickLblPos val="nextTo"/>
        <c:txPr>
          <a:bodyPr rot="-2700000" vert="horz"/>
          <a:lstStyle/>
          <a:p>
            <a:pPr>
              <a:defRPr/>
            </a:pPr>
            <a:endParaRPr lang="en-US"/>
          </a:p>
        </c:txPr>
        <c:crossAx val="159572736"/>
        <c:crosses val="autoZero"/>
        <c:auto val="1"/>
        <c:lblAlgn val="ctr"/>
        <c:lblOffset val="100"/>
        <c:noMultiLvlLbl val="0"/>
      </c:catAx>
      <c:valAx>
        <c:axId val="159572736"/>
        <c:scaling>
          <c:orientation val="minMax"/>
        </c:scaling>
        <c:delete val="0"/>
        <c:axPos val="l"/>
        <c:title>
          <c:tx>
            <c:rich>
              <a:bodyPr/>
              <a:lstStyle/>
              <a:p>
                <a:pPr>
                  <a:defRPr b="1"/>
                </a:pPr>
                <a:r>
                  <a:rPr lang="en-US" b="1"/>
                  <a:t>Number</a:t>
                </a:r>
              </a:p>
            </c:rich>
          </c:tx>
          <c:layout>
            <c:manualLayout>
              <c:xMode val="edge"/>
              <c:yMode val="edge"/>
              <c:x val="6.9707690648258009E-3"/>
              <c:y val="0.21465085027496991"/>
            </c:manualLayout>
          </c:layout>
          <c:overlay val="0"/>
        </c:title>
        <c:numFmt formatCode="General" sourceLinked="1"/>
        <c:majorTickMark val="out"/>
        <c:minorTickMark val="none"/>
        <c:tickLblPos val="nextTo"/>
        <c:txPr>
          <a:bodyPr rot="0" vert="horz"/>
          <a:lstStyle/>
          <a:p>
            <a:pPr>
              <a:defRPr/>
            </a:pPr>
            <a:endParaRPr lang="en-US"/>
          </a:p>
        </c:txPr>
        <c:crossAx val="159565696"/>
        <c:crosses val="autoZero"/>
        <c:crossBetween val="between"/>
      </c:valAx>
      <c:spPr>
        <a:ln>
          <a:noFill/>
        </a:ln>
      </c:spPr>
    </c:plotArea>
    <c:plotVisOnly val="1"/>
    <c:dispBlanksAs val="zero"/>
    <c:showDLblsOverMax val="0"/>
  </c:chart>
  <c:spPr>
    <a:noFill/>
    <a:ln w="6363">
      <a:solidFill>
        <a:schemeClr val="tx1"/>
      </a:solidFill>
    </a:ln>
  </c:spPr>
  <c:txPr>
    <a:bodyPr/>
    <a:lstStyle/>
    <a:p>
      <a:pPr>
        <a:defRPr sz="800" b="0" i="0" u="none" strike="noStrike" baseline="0">
          <a:solidFill>
            <a:srgbClr val="000000"/>
          </a:solidFill>
          <a:latin typeface="Arial"/>
          <a:ea typeface="Arial"/>
          <a:cs typeface="Arial"/>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651486863111163E-2"/>
          <c:y val="8.53118810345668E-2"/>
          <c:w val="0.85902875970290959"/>
          <c:h val="0.68778929364274022"/>
        </c:manualLayout>
      </c:layout>
      <c:barChart>
        <c:barDir val="col"/>
        <c:grouping val="clustered"/>
        <c:varyColors val="0"/>
        <c:ser>
          <c:idx val="0"/>
          <c:order val="0"/>
          <c:tx>
            <c:strRef>
              <c:f>Sheet1!$B$1</c:f>
              <c:strCache>
                <c:ptCount val="1"/>
                <c:pt idx="0">
                  <c:v>Column1</c:v>
                </c:pt>
              </c:strCache>
            </c:strRef>
          </c:tx>
          <c:spPr>
            <a:solidFill>
              <a:schemeClr val="accent6"/>
            </a:solidFill>
            <a:ln>
              <a:noFill/>
            </a:ln>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Sheet1!$A$2:$A$7</c:f>
              <c:strCache>
                <c:ptCount val="6"/>
                <c:pt idx="0">
                  <c:v>10-17</c:v>
                </c:pt>
                <c:pt idx="1">
                  <c:v>18-19</c:v>
                </c:pt>
                <c:pt idx="2">
                  <c:v>30-39</c:v>
                </c:pt>
                <c:pt idx="3">
                  <c:v>40-49</c:v>
                </c:pt>
                <c:pt idx="4">
                  <c:v>50-59</c:v>
                </c:pt>
                <c:pt idx="5">
                  <c:v>60+</c:v>
                </c:pt>
              </c:strCache>
            </c:strRef>
          </c:cat>
          <c:val>
            <c:numRef>
              <c:f>Sheet1!$B$2:$B$7</c:f>
              <c:numCache>
                <c:formatCode>General</c:formatCode>
                <c:ptCount val="6"/>
                <c:pt idx="0" formatCode="0.0">
                  <c:v>83</c:v>
                </c:pt>
                <c:pt idx="1">
                  <c:v>96.5</c:v>
                </c:pt>
                <c:pt idx="2">
                  <c:v>92.7</c:v>
                </c:pt>
                <c:pt idx="3">
                  <c:v>89.2</c:v>
                </c:pt>
                <c:pt idx="4" formatCode="0.0">
                  <c:v>79</c:v>
                </c:pt>
                <c:pt idx="5" formatCode="0.0">
                  <c:v>51.3</c:v>
                </c:pt>
              </c:numCache>
            </c:numRef>
          </c:val>
          <c:extLst>
            <c:ext xmlns:c16="http://schemas.microsoft.com/office/drawing/2014/chart" uri="{C3380CC4-5D6E-409C-BE32-E72D297353CC}">
              <c16:uniqueId val="{00000000-5FD7-4BCD-BFE2-A2D176E93A0F}"/>
            </c:ext>
          </c:extLst>
        </c:ser>
        <c:dLbls>
          <c:showLegendKey val="0"/>
          <c:showVal val="0"/>
          <c:showCatName val="0"/>
          <c:showSerName val="0"/>
          <c:showPercent val="0"/>
          <c:showBubbleSize val="0"/>
        </c:dLbls>
        <c:gapWidth val="150"/>
        <c:axId val="85843968"/>
        <c:axId val="85845888"/>
      </c:barChart>
      <c:catAx>
        <c:axId val="85843968"/>
        <c:scaling>
          <c:orientation val="minMax"/>
        </c:scaling>
        <c:delete val="0"/>
        <c:axPos val="b"/>
        <c:title>
          <c:tx>
            <c:rich>
              <a:bodyPr rot="0" vert="horz"/>
              <a:lstStyle/>
              <a:p>
                <a:pPr>
                  <a:defRPr/>
                </a:pPr>
                <a:r>
                  <a:rPr lang="en-GB"/>
                  <a:t>Age Groups</a:t>
                </a:r>
                <a:endParaRPr lang="en-US"/>
              </a:p>
            </c:rich>
          </c:tx>
          <c:layout/>
          <c:overlay val="0"/>
          <c:spPr>
            <a:noFill/>
            <a:ln>
              <a:noFill/>
            </a:ln>
            <a:effectLst/>
          </c:spPr>
        </c:title>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vert="horz"/>
          <a:lstStyle/>
          <a:p>
            <a:pPr>
              <a:defRPr/>
            </a:pPr>
            <a:endParaRPr lang="en-US"/>
          </a:p>
        </c:txPr>
        <c:crossAx val="85845888"/>
        <c:crosses val="autoZero"/>
        <c:auto val="1"/>
        <c:lblAlgn val="ctr"/>
        <c:lblOffset val="100"/>
        <c:noMultiLvlLbl val="0"/>
      </c:catAx>
      <c:valAx>
        <c:axId val="85845888"/>
        <c:scaling>
          <c:orientation val="minMax"/>
          <c:max val="100"/>
        </c:scaling>
        <c:delete val="0"/>
        <c:axPos val="l"/>
        <c:title>
          <c:tx>
            <c:rich>
              <a:bodyPr rot="-5400000" vert="horz"/>
              <a:lstStyle/>
              <a:p>
                <a:pPr>
                  <a:defRPr/>
                </a:pPr>
                <a:r>
                  <a:rPr lang="en-GB"/>
                  <a:t>Percentage</a:t>
                </a:r>
                <a:endParaRPr lang="en-US"/>
              </a:p>
            </c:rich>
          </c:tx>
          <c:layout/>
          <c:overlay val="0"/>
          <c:spPr>
            <a:noFill/>
            <a:ln>
              <a:noFill/>
            </a:ln>
            <a:effectLst/>
          </c:spPr>
        </c:title>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vert="horz"/>
          <a:lstStyle/>
          <a:p>
            <a:pPr>
              <a:defRPr/>
            </a:pPr>
            <a:endParaRPr lang="en-US"/>
          </a:p>
        </c:txPr>
        <c:crossAx val="85843968"/>
        <c:crosses val="autoZero"/>
        <c:crossBetween val="between"/>
      </c:valAx>
      <c:spPr>
        <a:solidFill>
          <a:schemeClr val="bg1"/>
        </a:solidFill>
        <a:ln>
          <a:noFill/>
        </a:ln>
        <a:effectLst/>
      </c:spPr>
    </c:plotArea>
    <c:plotVisOnly val="1"/>
    <c:dispBlanksAs val="gap"/>
    <c:showDLblsOverMax val="0"/>
  </c:chart>
  <c:spPr>
    <a:noFill/>
    <a:ln w="9525" cap="flat" cmpd="sng" algn="ctr">
      <a:noFill/>
      <a:prstDash val="solid"/>
      <a:round/>
    </a:ln>
    <a:effectLst/>
  </c:spPr>
  <c:txPr>
    <a:bodyPr/>
    <a:lstStyle/>
    <a:p>
      <a:pPr>
        <a:defRPr sz="800">
          <a:latin typeface="Arial" pitchFamily="34" charset="0"/>
          <a:cs typeface="Arial" pitchFamily="3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23041100236748"/>
          <c:y val="0.19064052089642641"/>
          <c:w val="0.83037901011036719"/>
          <c:h val="0.66361144760751056"/>
        </c:manualLayout>
      </c:layout>
      <c:barChart>
        <c:barDir val="col"/>
        <c:grouping val="clustered"/>
        <c:varyColors val="0"/>
        <c:ser>
          <c:idx val="0"/>
          <c:order val="0"/>
          <c:tx>
            <c:strRef>
              <c:f>Sheet1!$B$1</c:f>
              <c:strCache>
                <c:ptCount val="1"/>
                <c:pt idx="0">
                  <c:v>Males</c:v>
                </c:pt>
              </c:strCache>
            </c:strRef>
          </c:tx>
          <c:spPr>
            <a:solidFill>
              <a:schemeClr val="accent1"/>
            </a:solidFill>
            <a:ln>
              <a:noFill/>
            </a:ln>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Own a Mobile Phone</c:v>
                </c:pt>
                <c:pt idx="1">
                  <c:v>Use a Mobile Phone</c:v>
                </c:pt>
              </c:strCache>
            </c:strRef>
          </c:cat>
          <c:val>
            <c:numRef>
              <c:f>Sheet1!$B$2:$B$3</c:f>
              <c:numCache>
                <c:formatCode>General</c:formatCode>
                <c:ptCount val="2"/>
                <c:pt idx="0">
                  <c:v>84.4</c:v>
                </c:pt>
                <c:pt idx="1">
                  <c:v>92.5</c:v>
                </c:pt>
              </c:numCache>
            </c:numRef>
          </c:val>
          <c:extLst>
            <c:ext xmlns:c16="http://schemas.microsoft.com/office/drawing/2014/chart" uri="{C3380CC4-5D6E-409C-BE32-E72D297353CC}">
              <c16:uniqueId val="{00000000-4AAD-47B3-8D63-75ED90152EF9}"/>
            </c:ext>
          </c:extLst>
        </c:ser>
        <c:ser>
          <c:idx val="1"/>
          <c:order val="1"/>
          <c:tx>
            <c:strRef>
              <c:f>Sheet1!$C$1</c:f>
              <c:strCache>
                <c:ptCount val="1"/>
                <c:pt idx="0">
                  <c:v>Females</c:v>
                </c:pt>
              </c:strCache>
            </c:strRef>
          </c:tx>
          <c:spPr>
            <a:solidFill>
              <a:schemeClr val="accent3"/>
            </a:solidFill>
            <a:ln>
              <a:noFill/>
            </a:ln>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Own a Mobile Phone</c:v>
                </c:pt>
                <c:pt idx="1">
                  <c:v>Use a Mobile Phone</c:v>
                </c:pt>
              </c:strCache>
            </c:strRef>
          </c:cat>
          <c:val>
            <c:numRef>
              <c:f>Sheet1!$C$2:$C$3</c:f>
              <c:numCache>
                <c:formatCode>General</c:formatCode>
                <c:ptCount val="2"/>
                <c:pt idx="0">
                  <c:v>77.400000000000006</c:v>
                </c:pt>
                <c:pt idx="1">
                  <c:v>88.9</c:v>
                </c:pt>
              </c:numCache>
            </c:numRef>
          </c:val>
          <c:extLst>
            <c:ext xmlns:c16="http://schemas.microsoft.com/office/drawing/2014/chart" uri="{C3380CC4-5D6E-409C-BE32-E72D297353CC}">
              <c16:uniqueId val="{00000001-4AAD-47B3-8D63-75ED90152EF9}"/>
            </c:ext>
          </c:extLst>
        </c:ser>
        <c:dLbls>
          <c:showLegendKey val="0"/>
          <c:showVal val="0"/>
          <c:showCatName val="0"/>
          <c:showSerName val="0"/>
          <c:showPercent val="0"/>
          <c:showBubbleSize val="0"/>
        </c:dLbls>
        <c:gapWidth val="150"/>
        <c:axId val="41645952"/>
        <c:axId val="41647488"/>
      </c:barChart>
      <c:catAx>
        <c:axId val="41645952"/>
        <c:scaling>
          <c:orientation val="minMax"/>
        </c:scaling>
        <c:delete val="0"/>
        <c:axPos val="b"/>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vert="horz"/>
          <a:lstStyle/>
          <a:p>
            <a:pPr>
              <a:defRPr/>
            </a:pPr>
            <a:endParaRPr lang="en-US"/>
          </a:p>
        </c:txPr>
        <c:crossAx val="41647488"/>
        <c:crosses val="autoZero"/>
        <c:auto val="1"/>
        <c:lblAlgn val="ctr"/>
        <c:lblOffset val="100"/>
        <c:noMultiLvlLbl val="0"/>
      </c:catAx>
      <c:valAx>
        <c:axId val="41647488"/>
        <c:scaling>
          <c:orientation val="minMax"/>
          <c:max val="100"/>
        </c:scaling>
        <c:delete val="0"/>
        <c:axPos val="l"/>
        <c:title>
          <c:tx>
            <c:rich>
              <a:bodyPr rot="-5400000" vert="horz"/>
              <a:lstStyle/>
              <a:p>
                <a:pPr>
                  <a:defRPr/>
                </a:pPr>
                <a:r>
                  <a:rPr lang="en-US"/>
                  <a:t>Percentage</a:t>
                </a:r>
              </a:p>
            </c:rich>
          </c:tx>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vert="horz"/>
          <a:lstStyle/>
          <a:p>
            <a:pPr>
              <a:defRPr/>
            </a:pPr>
            <a:endParaRPr lang="en-US"/>
          </a:p>
        </c:txPr>
        <c:crossAx val="41645952"/>
        <c:crosses val="autoZero"/>
        <c:crossBetween val="between"/>
        <c:majorUnit val="20"/>
      </c:valAx>
      <c:spPr>
        <a:solidFill>
          <a:schemeClr val="bg1"/>
        </a:solidFill>
        <a:ln>
          <a:noFill/>
        </a:ln>
        <a:effectLst/>
      </c:spPr>
    </c:plotArea>
    <c:legend>
      <c:legendPos val="r"/>
      <c:layout>
        <c:manualLayout>
          <c:xMode val="edge"/>
          <c:yMode val="edge"/>
          <c:x val="0.31329929912607068"/>
          <c:y val="2.1734745001445656E-2"/>
          <c:w val="0.32321802969895042"/>
          <c:h val="0.12820512820512819"/>
        </c:manualLayout>
      </c:layout>
      <c:overlay val="0"/>
      <c:spPr>
        <a:noFill/>
        <a:ln w="0">
          <a:solidFill>
            <a:schemeClr val="tx1"/>
          </a:solidFill>
        </a:ln>
        <a:effectLst/>
      </c:spPr>
      <c:txPr>
        <a:bodyPr rot="0" vert="horz"/>
        <a:lstStyle/>
        <a:p>
          <a:pPr>
            <a:defRPr/>
          </a:pPr>
          <a:endParaRPr lang="en-US"/>
        </a:p>
      </c:txPr>
    </c:legend>
    <c:plotVisOnly val="1"/>
    <c:dispBlanksAs val="gap"/>
    <c:showDLblsOverMax val="0"/>
  </c:chart>
  <c:spPr>
    <a:noFill/>
    <a:ln w="9525" cap="flat" cmpd="sng" algn="ctr">
      <a:noFill/>
      <a:prstDash val="solid"/>
      <a:round/>
    </a:ln>
    <a:effectLst/>
  </c:spPr>
  <c:txPr>
    <a:bodyPr/>
    <a:lstStyle/>
    <a:p>
      <a:pPr>
        <a:defRPr sz="800">
          <a:latin typeface="Arial" pitchFamily="34" charset="0"/>
          <a:cs typeface="Arial"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296093312139952"/>
          <c:y val="0.1583478627671541"/>
          <c:w val="0.31792900522790546"/>
          <c:h val="0.64872656542932139"/>
        </c:manualLayout>
      </c:layout>
      <c:doughnutChart>
        <c:varyColors val="1"/>
        <c:ser>
          <c:idx val="0"/>
          <c:order val="0"/>
          <c:tx>
            <c:strRef>
              <c:f>Sheet1!$B$1</c:f>
              <c:strCache>
                <c:ptCount val="1"/>
                <c:pt idx="0">
                  <c:v>Sales</c:v>
                </c:pt>
              </c:strCache>
            </c:strRef>
          </c:tx>
          <c:explosion val="1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A94-4193-BCFB-15BFAE421E6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A94-4193-BCFB-15BFAE421E6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A94-4193-BCFB-15BFAE421E6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7A94-4193-BCFB-15BFAE421E60}"/>
              </c:ext>
            </c:extLst>
          </c:dPt>
          <c:dLbls>
            <c:dLbl>
              <c:idx val="1"/>
              <c:layout>
                <c:manualLayout>
                  <c:x val="-0.16164383561643839"/>
                  <c:y val="-1.521298174442195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A94-4193-BCFB-15BFAE421E60}"/>
                </c:ext>
              </c:extLst>
            </c:dLbl>
            <c:dLbl>
              <c:idx val="2"/>
              <c:layout>
                <c:manualLayout>
                  <c:x val="5.7534246575342465E-2"/>
                  <c:y val="-0.1470588235294118"/>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A94-4193-BCFB-15BFAE421E60}"/>
                </c:ext>
              </c:extLst>
            </c:dLbl>
            <c:dLbl>
              <c:idx val="3"/>
              <c:layout>
                <c:manualLayout>
                  <c:x val="9.8630136986301367E-2"/>
                  <c:y val="-5.0709939148073022E-2"/>
                </c:manualLayout>
              </c:layout>
              <c:numFmt formatCode="#,##0.0" sourceLinked="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7A94-4193-BCFB-15BFAE421E60}"/>
                </c:ext>
              </c:extLst>
            </c:dLbl>
            <c:numFmt formatCode="#,##0" sourceLinked="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Sheet1!$A$2:$A$5</c:f>
              <c:strCache>
                <c:ptCount val="4"/>
                <c:pt idx="0">
                  <c:v>Cattles</c:v>
                </c:pt>
                <c:pt idx="1">
                  <c:v>Sheep</c:v>
                </c:pt>
                <c:pt idx="2">
                  <c:v>Goats</c:v>
                </c:pt>
                <c:pt idx="3">
                  <c:v>Birds (Thousand)</c:v>
                </c:pt>
              </c:strCache>
            </c:strRef>
          </c:cat>
          <c:val>
            <c:numRef>
              <c:f>Sheet1!$B$2:$B$5</c:f>
              <c:numCache>
                <c:formatCode>_(* #,##0.00_);_(* \(#,##0.00\);_(* "-"??_);_(@_)</c:formatCode>
                <c:ptCount val="4"/>
                <c:pt idx="0">
                  <c:v>35065</c:v>
                </c:pt>
                <c:pt idx="1">
                  <c:v>69686</c:v>
                </c:pt>
                <c:pt idx="2">
                  <c:v>1392</c:v>
                </c:pt>
                <c:pt idx="3" formatCode="#,##0.0">
                  <c:v>13534.4</c:v>
                </c:pt>
              </c:numCache>
            </c:numRef>
          </c:val>
          <c:extLst>
            <c:ext xmlns:c16="http://schemas.microsoft.com/office/drawing/2014/chart" uri="{C3380CC4-5D6E-409C-BE32-E72D297353CC}">
              <c16:uniqueId val="{00000008-7A94-4193-BCFB-15BFAE421E60}"/>
            </c:ext>
          </c:extLst>
        </c:ser>
        <c:dLbls>
          <c:showLegendKey val="0"/>
          <c:showVal val="1"/>
          <c:showCatName val="0"/>
          <c:showSerName val="0"/>
          <c:showPercent val="0"/>
          <c:showBubbleSize val="0"/>
          <c:showLeaderLines val="1"/>
        </c:dLbls>
        <c:firstSliceAng val="84"/>
        <c:holeSize val="50"/>
      </c:doughnutChart>
      <c:spPr>
        <a:noFill/>
        <a:ln>
          <a:noFill/>
        </a:ln>
        <a:effectLst/>
      </c:spPr>
    </c:plotArea>
    <c:legend>
      <c:legendPos val="r"/>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0" cap="flat" cmpd="sng" algn="ctr">
      <a:solidFill>
        <a:schemeClr val="tx1"/>
      </a:solid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10230666364751"/>
          <c:y val="6.267806267806264E-2"/>
          <c:w val="0.84131850244167128"/>
          <c:h val="0.66496826533047004"/>
        </c:manualLayout>
      </c:layout>
      <c:barChart>
        <c:barDir val="col"/>
        <c:grouping val="clustered"/>
        <c:varyColors val="0"/>
        <c:ser>
          <c:idx val="0"/>
          <c:order val="0"/>
          <c:tx>
            <c:strRef>
              <c:f>Sheet1!$B$1</c:f>
              <c:strCache>
                <c:ptCount val="1"/>
                <c:pt idx="0">
                  <c:v>2025</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Sheet1!$A$2:$A$12</c:f>
              <c:strCache>
                <c:ptCount val="11"/>
                <c:pt idx="0">
                  <c:v>Salfit</c:v>
                </c:pt>
                <c:pt idx="1">
                  <c:v>Nablus</c:v>
                </c:pt>
                <c:pt idx="2">
                  <c:v>Qalqiliy</c:v>
                </c:pt>
                <c:pt idx="3">
                  <c:v>Tulkarm</c:v>
                </c:pt>
                <c:pt idx="4">
                  <c:v>Ramallah</c:v>
                </c:pt>
                <c:pt idx="5">
                  <c:v>Hebron</c:v>
                </c:pt>
                <c:pt idx="6">
                  <c:v>Jenin</c:v>
                </c:pt>
                <c:pt idx="7">
                  <c:v>Tubas</c:v>
                </c:pt>
                <c:pt idx="8">
                  <c:v>Jerusalem</c:v>
                </c:pt>
                <c:pt idx="9">
                  <c:v>Bethlehem</c:v>
                </c:pt>
                <c:pt idx="10">
                  <c:v>Jericho</c:v>
                </c:pt>
              </c:strCache>
            </c:strRef>
          </c:cat>
          <c:val>
            <c:numRef>
              <c:f>Sheet1!$B$2:$B$12</c:f>
              <c:numCache>
                <c:formatCode>General</c:formatCode>
                <c:ptCount val="11"/>
                <c:pt idx="0">
                  <c:v>332</c:v>
                </c:pt>
                <c:pt idx="1">
                  <c:v>331.4</c:v>
                </c:pt>
                <c:pt idx="2" formatCode="0.0">
                  <c:v>331</c:v>
                </c:pt>
                <c:pt idx="3" formatCode="0.0">
                  <c:v>289.89999999999998</c:v>
                </c:pt>
                <c:pt idx="4">
                  <c:v>257.39999999999998</c:v>
                </c:pt>
                <c:pt idx="5">
                  <c:v>226</c:v>
                </c:pt>
                <c:pt idx="6">
                  <c:v>224.1</c:v>
                </c:pt>
                <c:pt idx="7" formatCode="0.0">
                  <c:v>219</c:v>
                </c:pt>
                <c:pt idx="8" formatCode="0.0">
                  <c:v>207.5</c:v>
                </c:pt>
                <c:pt idx="9" formatCode="0.0">
                  <c:v>187.6</c:v>
                </c:pt>
                <c:pt idx="10">
                  <c:v>54.8</c:v>
                </c:pt>
              </c:numCache>
            </c:numRef>
          </c:val>
          <c:extLst>
            <c:ext xmlns:c16="http://schemas.microsoft.com/office/drawing/2014/chart" uri="{C3380CC4-5D6E-409C-BE32-E72D297353CC}">
              <c16:uniqueId val="{00000000-CC1B-4A1A-874D-D6AD89D5CB75}"/>
            </c:ext>
          </c:extLst>
        </c:ser>
        <c:dLbls>
          <c:showLegendKey val="0"/>
          <c:showVal val="1"/>
          <c:showCatName val="0"/>
          <c:showSerName val="0"/>
          <c:showPercent val="0"/>
          <c:showBubbleSize val="0"/>
        </c:dLbls>
        <c:gapWidth val="136"/>
        <c:overlap val="92"/>
        <c:axId val="-212982896"/>
        <c:axId val="-212960048"/>
      </c:barChart>
      <c:catAx>
        <c:axId val="-212982896"/>
        <c:scaling>
          <c:orientation val="minMax"/>
        </c:scaling>
        <c:delete val="0"/>
        <c:axPos val="b"/>
        <c:title>
          <c:tx>
            <c:rich>
              <a:bodyPr/>
              <a:lstStyle/>
              <a:p>
                <a:pPr>
                  <a:defRPr/>
                </a:pPr>
                <a:r>
                  <a:rPr lang="en-US"/>
                  <a:t>Station Location</a:t>
                </a:r>
              </a:p>
            </c:rich>
          </c:tx>
          <c:layout>
            <c:manualLayout>
              <c:xMode val="edge"/>
              <c:yMode val="edge"/>
              <c:x val="0.44252028787329234"/>
              <c:y val="0.8787451237469488"/>
            </c:manualLayout>
          </c:layout>
          <c:overlay val="0"/>
        </c:title>
        <c:numFmt formatCode="General" sourceLinked="1"/>
        <c:majorTickMark val="out"/>
        <c:minorTickMark val="none"/>
        <c:tickLblPos val="nextTo"/>
        <c:txPr>
          <a:bodyPr rot="1080000"/>
          <a:lstStyle/>
          <a:p>
            <a:pPr>
              <a:defRPr sz="800"/>
            </a:pPr>
            <a:endParaRPr lang="en-US"/>
          </a:p>
        </c:txPr>
        <c:crossAx val="-212960048"/>
        <c:crosses val="autoZero"/>
        <c:auto val="1"/>
        <c:lblAlgn val="ctr"/>
        <c:lblOffset val="50"/>
        <c:noMultiLvlLbl val="0"/>
      </c:catAx>
      <c:valAx>
        <c:axId val="-212960048"/>
        <c:scaling>
          <c:orientation val="minMax"/>
          <c:max val="350"/>
        </c:scaling>
        <c:delete val="0"/>
        <c:axPos val="l"/>
        <c:title>
          <c:tx>
            <c:rich>
              <a:bodyPr/>
              <a:lstStyle/>
              <a:p>
                <a:pPr>
                  <a:defRPr/>
                </a:pPr>
                <a:r>
                  <a:rPr lang="en-US"/>
                  <a:t>Rainfall Quantity(mm)</a:t>
                </a:r>
              </a:p>
            </c:rich>
          </c:tx>
          <c:layout>
            <c:manualLayout>
              <c:xMode val="edge"/>
              <c:yMode val="edge"/>
              <c:x val="1.1164082351132676E-2"/>
              <c:y val="0.11406769518048654"/>
            </c:manualLayout>
          </c:layout>
          <c:overlay val="0"/>
        </c:title>
        <c:numFmt formatCode="General" sourceLinked="1"/>
        <c:majorTickMark val="out"/>
        <c:minorTickMark val="none"/>
        <c:tickLblPos val="nextTo"/>
        <c:crossAx val="-212982896"/>
        <c:crosses val="autoZero"/>
        <c:crossBetween val="between"/>
      </c:valAx>
    </c:plotArea>
    <c:plotVisOnly val="1"/>
    <c:dispBlanksAs val="zero"/>
    <c:showDLblsOverMax val="0"/>
  </c:chart>
  <c:spPr>
    <a:noFill/>
    <a:ln>
      <a:noFill/>
    </a:ln>
  </c:spPr>
  <c:txPr>
    <a:bodyPr/>
    <a:lstStyle/>
    <a:p>
      <a:pPr>
        <a:defRPr sz="800">
          <a:latin typeface="Arial" pitchFamily="34" charset="0"/>
          <a:cs typeface="Arial" pitchFamily="34" charset="0"/>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611650039471561"/>
          <c:y val="4.1465993221435807E-2"/>
          <c:w val="0.8431033727621654"/>
          <c:h val="0.76691152092830506"/>
        </c:manualLayout>
      </c:layout>
      <c:lineChart>
        <c:grouping val="standard"/>
        <c:varyColors val="0"/>
        <c:ser>
          <c:idx val="0"/>
          <c:order val="0"/>
          <c:tx>
            <c:strRef>
              <c:f>Sheet1!$C$3</c:f>
              <c:strCache>
                <c:ptCount val="1"/>
                <c:pt idx="0">
                  <c:v>Yearly Percent Change %</c:v>
                </c:pt>
              </c:strCache>
            </c:strRef>
          </c:tx>
          <c:spPr>
            <a:ln w="28575" cap="rnd">
              <a:solidFill>
                <a:schemeClr val="accent1"/>
              </a:solidFill>
              <a:round/>
            </a:ln>
            <a:effectLst/>
          </c:spPr>
          <c:marker>
            <c:symbol val="square"/>
            <c:size val="5"/>
            <c:spPr>
              <a:solidFill>
                <a:schemeClr val="accent1"/>
              </a:solidFill>
              <a:ln w="9525">
                <a:solidFill>
                  <a:schemeClr val="accent1"/>
                </a:solidFill>
              </a:ln>
              <a:effectLst/>
            </c:spPr>
          </c:marker>
          <c:dLbls>
            <c:dLbl>
              <c:idx val="13"/>
              <c:layout>
                <c:manualLayout>
                  <c:x val="-4.3210410664480895E-3"/>
                  <c:y val="1.924370564790501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7AB-4023-9B5D-D3A86BDAA246}"/>
                </c:ext>
              </c:extLst>
            </c:dLbl>
            <c:dLbl>
              <c:idx val="14"/>
              <c:layout>
                <c:manualLayout>
                  <c:x val="-1.5320734480839468E-3"/>
                  <c:y val="-5.483036842616900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7AB-4023-9B5D-D3A86BDAA246}"/>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Sheet1!$B$4:$B$18</c:f>
              <c:numCache>
                <c:formatCode>General</c:formatCode>
                <c:ptCount val="15"/>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numCache>
            </c:numRef>
          </c:cat>
          <c:val>
            <c:numRef>
              <c:f>Sheet1!$C$4:$C$18</c:f>
              <c:numCache>
                <c:formatCode>0.00</c:formatCode>
                <c:ptCount val="15"/>
                <c:pt idx="0">
                  <c:v>3.7491572759710436</c:v>
                </c:pt>
                <c:pt idx="1">
                  <c:v>2.8772435849593592</c:v>
                </c:pt>
                <c:pt idx="2">
                  <c:v>2.7790876828249935</c:v>
                </c:pt>
                <c:pt idx="3">
                  <c:v>1.724399336269073</c:v>
                </c:pt>
                <c:pt idx="4">
                  <c:v>1.7309113392540496</c:v>
                </c:pt>
                <c:pt idx="5">
                  <c:v>1.4336791180664221</c:v>
                </c:pt>
                <c:pt idx="6">
                  <c:v>-0.21910660490753742</c:v>
                </c:pt>
                <c:pt idx="7">
                  <c:v>0.21239565879329803</c:v>
                </c:pt>
                <c:pt idx="8">
                  <c:v>-0.19493321103466599</c:v>
                </c:pt>
                <c:pt idx="9">
                  <c:v>1.5801833363939863</c:v>
                </c:pt>
                <c:pt idx="10">
                  <c:v>-0.73496432459437244</c:v>
                </c:pt>
                <c:pt idx="11">
                  <c:v>1.2369583763461236</c:v>
                </c:pt>
                <c:pt idx="12">
                  <c:v>3.7415610797830965</c:v>
                </c:pt>
                <c:pt idx="13">
                  <c:v>5.8705534165206075</c:v>
                </c:pt>
                <c:pt idx="14">
                  <c:v>53.669784432397989</c:v>
                </c:pt>
              </c:numCache>
            </c:numRef>
          </c:val>
          <c:smooth val="1"/>
          <c:extLst>
            <c:ext xmlns:c16="http://schemas.microsoft.com/office/drawing/2014/chart" uri="{C3380CC4-5D6E-409C-BE32-E72D297353CC}">
              <c16:uniqueId val="{00000002-97AB-4023-9B5D-D3A86BDAA246}"/>
            </c:ext>
          </c:extLst>
        </c:ser>
        <c:ser>
          <c:idx val="1"/>
          <c:order val="1"/>
          <c:tx>
            <c:strRef>
              <c:f>Sheet1!$E$3</c:f>
              <c:strCache>
                <c:ptCount val="1"/>
                <c:pt idx="0">
                  <c:v>Cumulative percentage</c:v>
                </c:pt>
              </c:strCache>
            </c:strRef>
          </c:tx>
          <c:spPr>
            <a:ln w="28575" cap="rnd">
              <a:solidFill>
                <a:schemeClr val="accent2"/>
              </a:solidFill>
              <a:prstDash val="sysDash"/>
              <a:round/>
            </a:ln>
            <a:effectLst/>
          </c:spPr>
          <c:marker>
            <c:symbol val="circle"/>
            <c:size val="5"/>
            <c:spPr>
              <a:solidFill>
                <a:schemeClr val="accent2"/>
              </a:solidFill>
              <a:ln w="9525">
                <a:solidFill>
                  <a:schemeClr val="accent2"/>
                </a:solidFill>
              </a:ln>
              <a:effectLst/>
            </c:spPr>
          </c:marker>
          <c:dLbls>
            <c:dLbl>
              <c:idx val="0"/>
              <c:layout/>
              <c:dLblPos val="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7AB-4023-9B5D-D3A86BDAA246}"/>
                </c:ext>
              </c:extLst>
            </c:dLbl>
            <c:dLbl>
              <c:idx val="13"/>
              <c:layout>
                <c:manualLayout>
                  <c:x val="-7.7655677655677657E-2"/>
                  <c:y val="-6.71760474385146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97AB-4023-9B5D-D3A86BDAA246}"/>
                </c:ext>
              </c:extLst>
            </c:dLbl>
            <c:dLbl>
              <c:idx val="14"/>
              <c:layout/>
              <c:dLblPos val="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7AB-4023-9B5D-D3A86BDAA246}"/>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Sheet1!$B$4:$B$18</c:f>
              <c:numCache>
                <c:formatCode>General</c:formatCode>
                <c:ptCount val="15"/>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numCache>
            </c:numRef>
          </c:cat>
          <c:val>
            <c:numRef>
              <c:f>Sheet1!$E$4:$E$18</c:f>
              <c:numCache>
                <c:formatCode>0.00</c:formatCode>
                <c:ptCount val="15"/>
                <c:pt idx="0">
                  <c:v>3.7491572759710436</c:v>
                </c:pt>
                <c:pt idx="1">
                  <c:v>2.8772435849593592</c:v>
                </c:pt>
                <c:pt idx="2">
                  <c:v>5.7362923898588463</c:v>
                </c:pt>
                <c:pt idx="3">
                  <c:v>7.559608314025084</c:v>
                </c:pt>
                <c:pt idx="4">
                  <c:v>9.421369770789795</c:v>
                </c:pt>
                <c:pt idx="5">
                  <c:v>10.990121099895859</c:v>
                </c:pt>
                <c:pt idx="6">
                  <c:v>10.7469344137711</c:v>
                </c:pt>
                <c:pt idx="7">
                  <c:v>10.982156094712622</c:v>
                </c:pt>
                <c:pt idx="8">
                  <c:v>10.765815014161689</c:v>
                </c:pt>
                <c:pt idx="9">
                  <c:v>12.51611796543645</c:v>
                </c:pt>
                <c:pt idx="10">
                  <c:v>11.689164638971988</c:v>
                </c:pt>
                <c:pt idx="11">
                  <c:v>13.07071311644475</c:v>
                </c:pt>
                <c:pt idx="12">
                  <c:v>17.301322911042845</c:v>
                </c:pt>
                <c:pt idx="13">
                  <c:v>24.187559730820936</c:v>
                </c:pt>
                <c:pt idx="14">
                  <c:v>90.838755330208045</c:v>
                </c:pt>
              </c:numCache>
            </c:numRef>
          </c:val>
          <c:smooth val="1"/>
          <c:extLst>
            <c:ext xmlns:c16="http://schemas.microsoft.com/office/drawing/2014/chart" uri="{C3380CC4-5D6E-409C-BE32-E72D297353CC}">
              <c16:uniqueId val="{00000006-97AB-4023-9B5D-D3A86BDAA246}"/>
            </c:ext>
          </c:extLst>
        </c:ser>
        <c:dLbls>
          <c:dLblPos val="t"/>
          <c:showLegendKey val="0"/>
          <c:showVal val="1"/>
          <c:showCatName val="0"/>
          <c:showSerName val="0"/>
          <c:showPercent val="0"/>
          <c:showBubbleSize val="0"/>
        </c:dLbls>
        <c:marker val="1"/>
        <c:smooth val="0"/>
        <c:axId val="176844176"/>
        <c:axId val="1"/>
      </c:lineChart>
      <c:catAx>
        <c:axId val="176844176"/>
        <c:scaling>
          <c:orientation val="minMax"/>
        </c:scaling>
        <c:delete val="0"/>
        <c:axPos val="b"/>
        <c:numFmt formatCode="General" sourceLinked="1"/>
        <c:majorTickMark val="out"/>
        <c:minorTickMark val="none"/>
        <c:tickLblPos val="nextTo"/>
        <c:spPr>
          <a:noFill/>
          <a:ln w="9525" cap="flat" cmpd="sng" algn="ctr">
            <a:solidFill>
              <a:srgbClr val="000000"/>
            </a:solidFill>
            <a:round/>
          </a:ln>
          <a:effectLst/>
        </c:spPr>
        <c:txPr>
          <a:bodyPr rot="-270000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
        <c:crossesAt val="-5"/>
        <c:auto val="1"/>
        <c:lblAlgn val="ctr"/>
        <c:lblOffset val="500"/>
        <c:noMultiLvlLbl val="0"/>
      </c:catAx>
      <c:valAx>
        <c:axId val="1"/>
        <c:scaling>
          <c:orientation val="minMax"/>
          <c:min val="-20"/>
        </c:scaling>
        <c:delete val="0"/>
        <c:axPos val="l"/>
        <c:title>
          <c:tx>
            <c:rich>
              <a:bodyPr rot="-5400000" spcFirstLastPara="1" vertOverflow="ellipsis" vert="horz" wrap="square" anchor="ctr" anchorCtr="1"/>
              <a:lstStyle/>
              <a:p>
                <a:pPr algn="ctr" rtl="1">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Percent Change %</a:t>
                </a:r>
              </a:p>
            </c:rich>
          </c:tx>
          <c:layout>
            <c:manualLayout>
              <c:xMode val="edge"/>
              <c:yMode val="edge"/>
              <c:x val="1.35666802333469E-2"/>
              <c:y val="0.20181685622630507"/>
            </c:manualLayout>
          </c:layout>
          <c:overlay val="0"/>
          <c:spPr>
            <a:noFill/>
            <a:ln>
              <a:noFill/>
            </a:ln>
            <a:effectLst/>
          </c:spPr>
          <c:txPr>
            <a:bodyPr rot="-5400000" spcFirstLastPara="1" vertOverflow="ellipsis" vert="horz" wrap="square" anchor="ctr" anchorCtr="1"/>
            <a:lstStyle/>
            <a:p>
              <a:pPr algn="ctr" rtl="1">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0" sourceLinked="1"/>
        <c:majorTickMark val="out"/>
        <c:minorTickMark val="none"/>
        <c:tickLblPos val="nextTo"/>
        <c:spPr>
          <a:noFill/>
          <a:ln>
            <a:solidFill>
              <a:srgbClr val="000000"/>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76844176"/>
        <c:crossesAt val="1"/>
        <c:crossBetween val="between"/>
        <c:majorUnit val="20"/>
      </c:valAx>
      <c:spPr>
        <a:noFill/>
        <a:ln>
          <a:noFill/>
        </a:ln>
        <a:effectLst/>
      </c:spPr>
    </c:plotArea>
    <c:legend>
      <c:legendPos val="b"/>
      <c:layout>
        <c:manualLayout>
          <c:xMode val="edge"/>
          <c:yMode val="edge"/>
          <c:x val="0.1954794112274427"/>
          <c:y val="3.431166692398744E-2"/>
          <c:w val="0.68772770925001891"/>
          <c:h val="0.1072991611342699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0" cap="flat" cmpd="sng" algn="ctr">
      <a:solidFill>
        <a:srgbClr val="000000"/>
      </a:solid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38CD1B-1DBC-4F0C-AE07-0D49728B7C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253</TotalTime>
  <Pages>50</Pages>
  <Words>7538</Words>
  <Characters>42091</Characters>
  <Application>Microsoft Office Word</Application>
  <DocSecurity>0</DocSecurity>
  <Lines>350</Lines>
  <Paragraphs>99</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Dedication</vt:lpstr>
      <vt:lpstr>Dedication</vt:lpstr>
    </vt:vector>
  </TitlesOfParts>
  <Company>Tworld</Company>
  <LinksUpToDate>false</LinksUpToDate>
  <CharactersWithSpaces>49530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Dedication</dc:title>
  <dc:creator>Abed Al-Rahim</dc:creator>
  <cp:lastModifiedBy>Maen Salhab</cp:lastModifiedBy>
  <cp:revision>48</cp:revision>
  <cp:lastPrinted>2025-12-28T10:15:00Z</cp:lastPrinted>
  <dcterms:created xsi:type="dcterms:W3CDTF">2025-09-23T14:43:00Z</dcterms:created>
  <dcterms:modified xsi:type="dcterms:W3CDTF">2025-12-28T10:16:00Z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257bcab0fcc355c1021dd53fe463941c29a624bc98416dfb958bf56164736542</vt:lpwstr>
  </property>
</Properties>
</file>